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B5DD" w14:textId="5700A49F" w:rsidR="00CC19B5" w:rsidRPr="00CC19B5" w:rsidRDefault="00CC19B5" w:rsidP="00CC19B5">
      <w:pPr>
        <w:spacing w:after="0" w:line="240" w:lineRule="auto"/>
        <w:rPr>
          <w:lang w:val="et-EE"/>
        </w:rPr>
      </w:pPr>
      <w:r w:rsidRPr="00CC19B5">
        <w:rPr>
          <w:lang w:val="et-EE"/>
        </w:rPr>
        <w:t>Justiitsministeerium</w:t>
      </w:r>
      <w:r w:rsidRPr="00CC19B5">
        <w:rPr>
          <w:lang w:val="et-EE"/>
        </w:rPr>
        <w:tab/>
      </w:r>
      <w:r w:rsidR="00D9531F">
        <w:rPr>
          <w:lang w:val="et-EE"/>
        </w:rPr>
        <w:tab/>
      </w:r>
      <w:r w:rsidR="00D9531F">
        <w:rPr>
          <w:lang w:val="et-EE"/>
        </w:rPr>
        <w:tab/>
      </w:r>
      <w:r w:rsidR="00D9531F">
        <w:rPr>
          <w:lang w:val="et-EE"/>
        </w:rPr>
        <w:tab/>
      </w:r>
      <w:r w:rsidR="00D9531F">
        <w:rPr>
          <w:lang w:val="et-EE"/>
        </w:rPr>
        <w:tab/>
      </w:r>
      <w:r w:rsidR="00D9531F">
        <w:rPr>
          <w:lang w:val="et-EE"/>
        </w:rPr>
        <w:tab/>
      </w:r>
      <w:r w:rsidR="00D9531F">
        <w:rPr>
          <w:lang w:val="et-EE"/>
        </w:rPr>
        <w:tab/>
      </w:r>
      <w:r w:rsidR="00D9531F" w:rsidRPr="00CC19B5">
        <w:rPr>
          <w:lang w:val="et-EE"/>
        </w:rPr>
        <w:t>Teie</w:t>
      </w:r>
      <w:r w:rsidR="00216663">
        <w:rPr>
          <w:lang w:val="en-GB"/>
        </w:rPr>
        <w:t>:</w:t>
      </w:r>
      <w:r w:rsidR="00D9531F" w:rsidRPr="00CC19B5">
        <w:rPr>
          <w:lang w:val="et-EE"/>
        </w:rPr>
        <w:t xml:space="preserve"> 02.</w:t>
      </w:r>
      <w:r w:rsidR="00216663">
        <w:rPr>
          <w:lang w:val="et-EE"/>
        </w:rPr>
        <w:t>0</w:t>
      </w:r>
      <w:r w:rsidR="00D9531F" w:rsidRPr="00CC19B5">
        <w:rPr>
          <w:lang w:val="et-EE"/>
        </w:rPr>
        <w:t>1.2024 nr 8-3/11-1</w:t>
      </w:r>
    </w:p>
    <w:p w14:paraId="5325986B" w14:textId="242A3CD0" w:rsidR="00CC19B5" w:rsidRPr="00CC19B5" w:rsidRDefault="00CC19B5" w:rsidP="00CC19B5">
      <w:pPr>
        <w:spacing w:after="0" w:line="240" w:lineRule="auto"/>
        <w:rPr>
          <w:lang w:val="et-EE"/>
        </w:rPr>
      </w:pPr>
      <w:r w:rsidRPr="00CC19B5">
        <w:rPr>
          <w:lang w:val="et-EE"/>
        </w:rPr>
        <w:t>Suur-Ameerika 1</w:t>
      </w:r>
      <w:r w:rsidRPr="00CC19B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39222F59" w14:textId="621345A5" w:rsidR="00C80A4B" w:rsidRDefault="00CC19B5" w:rsidP="00CC19B5">
      <w:pPr>
        <w:spacing w:after="0" w:line="240" w:lineRule="auto"/>
        <w:rPr>
          <w:lang w:val="et-EE"/>
        </w:rPr>
      </w:pPr>
      <w:r w:rsidRPr="00CC19B5">
        <w:rPr>
          <w:lang w:val="et-EE"/>
        </w:rPr>
        <w:t>10122</w:t>
      </w:r>
      <w:r w:rsidR="00CB7196">
        <w:rPr>
          <w:lang w:val="et-EE"/>
        </w:rPr>
        <w:t>,</w:t>
      </w:r>
      <w:r w:rsidRPr="00CC19B5">
        <w:rPr>
          <w:lang w:val="et-EE"/>
        </w:rPr>
        <w:t xml:space="preserve"> Tallinn</w:t>
      </w:r>
      <w:r w:rsidRPr="00CC19B5">
        <w:rPr>
          <w:lang w:val="et-EE"/>
        </w:rPr>
        <w:tab/>
      </w:r>
    </w:p>
    <w:p w14:paraId="3E5A0D44" w14:textId="77777777" w:rsidR="00CC19B5" w:rsidRDefault="00CC19B5" w:rsidP="00CC19B5">
      <w:pPr>
        <w:spacing w:after="120"/>
        <w:rPr>
          <w:lang w:val="et-EE"/>
        </w:rPr>
      </w:pPr>
    </w:p>
    <w:p w14:paraId="01881311" w14:textId="4C92575D" w:rsidR="00CB7196" w:rsidRPr="00CC19B5" w:rsidRDefault="00D9531F" w:rsidP="00CB7196">
      <w:pPr>
        <w:spacing w:after="0" w:line="240" w:lineRule="auto"/>
        <w:rPr>
          <w:lang w:val="et-EE"/>
        </w:rPr>
      </w:pPr>
      <w:r w:rsidRPr="0043202D">
        <w:rPr>
          <w:lang w:val="et-EE"/>
        </w:rPr>
        <w:t>MTÜ Filmi Esmasalvestuse Tootjate Ühing</w:t>
      </w:r>
      <w:r w:rsidR="00CB7196">
        <w:rPr>
          <w:lang w:val="et-EE"/>
        </w:rPr>
        <w:tab/>
      </w:r>
      <w:r w:rsidR="00CB7196">
        <w:rPr>
          <w:lang w:val="et-EE"/>
        </w:rPr>
        <w:tab/>
      </w:r>
      <w:r w:rsidR="00CB7196">
        <w:rPr>
          <w:lang w:val="et-EE"/>
        </w:rPr>
        <w:tab/>
      </w:r>
      <w:r w:rsidR="00CB7196">
        <w:rPr>
          <w:lang w:val="et-EE"/>
        </w:rPr>
        <w:tab/>
      </w:r>
      <w:r w:rsidR="00216663">
        <w:rPr>
          <w:lang w:val="et-EE"/>
        </w:rPr>
        <w:t>Meie:</w:t>
      </w:r>
      <w:r w:rsidR="00CB7196" w:rsidRPr="00CC19B5">
        <w:rPr>
          <w:lang w:val="et-EE"/>
        </w:rPr>
        <w:t xml:space="preserve"> </w:t>
      </w:r>
      <w:r w:rsidR="00831E2F">
        <w:rPr>
          <w:lang w:val="et-EE"/>
        </w:rPr>
        <w:t>02.</w:t>
      </w:r>
      <w:r w:rsidR="00216663">
        <w:rPr>
          <w:lang w:val="et-EE"/>
        </w:rPr>
        <w:t>0</w:t>
      </w:r>
      <w:r w:rsidR="00831E2F">
        <w:rPr>
          <w:lang w:val="et-EE"/>
        </w:rPr>
        <w:t>2</w:t>
      </w:r>
      <w:r w:rsidR="00CB7196" w:rsidRPr="00CC19B5">
        <w:rPr>
          <w:lang w:val="et-EE"/>
        </w:rPr>
        <w:t xml:space="preserve">.2024 </w:t>
      </w:r>
    </w:p>
    <w:p w14:paraId="39DA4155" w14:textId="3405E9D6" w:rsidR="00D9531F" w:rsidRDefault="00CB7196" w:rsidP="00CB7196">
      <w:pPr>
        <w:spacing w:after="0" w:line="240" w:lineRule="auto"/>
        <w:rPr>
          <w:lang w:val="et-EE"/>
        </w:rPr>
      </w:pPr>
      <w:r w:rsidRPr="00CB7196">
        <w:rPr>
          <w:lang w:val="et-EE"/>
        </w:rPr>
        <w:t>Saue tn 11</w:t>
      </w:r>
    </w:p>
    <w:p w14:paraId="61E89779" w14:textId="2BA48872" w:rsidR="00CB7196" w:rsidRDefault="00CB7196" w:rsidP="00CB7196">
      <w:pPr>
        <w:spacing w:after="0" w:line="240" w:lineRule="auto"/>
        <w:rPr>
          <w:lang w:val="et-EE"/>
        </w:rPr>
      </w:pPr>
      <w:r w:rsidRPr="00CB7196">
        <w:rPr>
          <w:lang w:val="et-EE"/>
        </w:rPr>
        <w:t>10612</w:t>
      </w:r>
      <w:r>
        <w:rPr>
          <w:lang w:val="et-EE"/>
        </w:rPr>
        <w:t>, Tallinn</w:t>
      </w:r>
    </w:p>
    <w:p w14:paraId="43ACAD88" w14:textId="3307E9E7" w:rsidR="00CB7196" w:rsidRPr="00CB7196" w:rsidRDefault="00CB7196" w:rsidP="00CC19B5">
      <w:pPr>
        <w:spacing w:after="120"/>
        <w:rPr>
          <w:lang w:val="en-GB"/>
        </w:rPr>
      </w:pPr>
    </w:p>
    <w:p w14:paraId="3E4A54C3" w14:textId="4D20F7D2" w:rsidR="002B0DC4" w:rsidRPr="00216663" w:rsidRDefault="002B0DC4" w:rsidP="00216663">
      <w:pPr>
        <w:spacing w:after="120"/>
        <w:jc w:val="center"/>
        <w:rPr>
          <w:b/>
          <w:bCs/>
          <w:lang w:val="et-EE"/>
        </w:rPr>
      </w:pPr>
      <w:r w:rsidRPr="00216663">
        <w:rPr>
          <w:b/>
          <w:bCs/>
          <w:lang w:val="et-EE"/>
        </w:rPr>
        <w:t>Arvamus</w:t>
      </w:r>
      <w:r w:rsidR="00216663" w:rsidRPr="00216663">
        <w:rPr>
          <w:b/>
          <w:bCs/>
          <w:lang w:val="et-EE"/>
        </w:rPr>
        <w:t xml:space="preserve"> a</w:t>
      </w:r>
      <w:r w:rsidR="00DF10D8" w:rsidRPr="00216663">
        <w:rPr>
          <w:b/>
          <w:bCs/>
          <w:lang w:val="et-EE"/>
        </w:rPr>
        <w:t>utoriõiguse seaduse seaduseelnõu väljatöötamiskavatsus</w:t>
      </w:r>
      <w:r w:rsidR="008B5EFC" w:rsidRPr="00216663">
        <w:rPr>
          <w:b/>
          <w:bCs/>
          <w:lang w:val="et-EE"/>
        </w:rPr>
        <w:t>e kohta</w:t>
      </w:r>
    </w:p>
    <w:p w14:paraId="4887DDFB" w14:textId="77777777" w:rsidR="00DF10D8" w:rsidRPr="008D7CF8" w:rsidRDefault="00DF10D8" w:rsidP="004D17CD">
      <w:pPr>
        <w:spacing w:after="120"/>
        <w:rPr>
          <w:lang w:val="et-EE"/>
        </w:rPr>
      </w:pPr>
    </w:p>
    <w:p w14:paraId="17C77C36" w14:textId="77777777" w:rsidR="003B5405" w:rsidRDefault="0043202D" w:rsidP="003B5405">
      <w:pPr>
        <w:spacing w:after="120"/>
        <w:rPr>
          <w:lang w:val="et-EE"/>
        </w:rPr>
      </w:pPr>
      <w:r w:rsidRPr="0043202D">
        <w:rPr>
          <w:lang w:val="et-EE"/>
        </w:rPr>
        <w:t>MTÜ Filmi Esmasalvestuse Tootjate Ühing</w:t>
      </w:r>
      <w:r w:rsidR="005C48C8">
        <w:rPr>
          <w:lang w:val="et-EE"/>
        </w:rPr>
        <w:t xml:space="preserve"> (FETÜ)</w:t>
      </w:r>
      <w:r>
        <w:rPr>
          <w:lang w:val="et-EE"/>
        </w:rPr>
        <w:t xml:space="preserve"> esitab arvamuse väljatöötamiskavatsuse </w:t>
      </w:r>
      <w:r w:rsidR="007F26DB">
        <w:rPr>
          <w:lang w:val="et-EE"/>
        </w:rPr>
        <w:t xml:space="preserve">(VTK) </w:t>
      </w:r>
      <w:r>
        <w:rPr>
          <w:lang w:val="et-EE"/>
        </w:rPr>
        <w:t>kohta</w:t>
      </w:r>
      <w:r w:rsidR="008D7CF8">
        <w:rPr>
          <w:lang w:val="et-EE"/>
        </w:rPr>
        <w:t>.</w:t>
      </w:r>
      <w:r w:rsidR="005F02FD">
        <w:rPr>
          <w:lang w:val="et-EE"/>
        </w:rPr>
        <w:t xml:space="preserve"> </w:t>
      </w:r>
    </w:p>
    <w:p w14:paraId="300E8E29" w14:textId="0F324D2D" w:rsidR="00214531" w:rsidRPr="00EC2E49" w:rsidRDefault="004C2036" w:rsidP="003B5405">
      <w:pPr>
        <w:spacing w:after="120"/>
        <w:rPr>
          <w:b/>
          <w:bCs/>
          <w:lang w:val="et-EE"/>
        </w:rPr>
      </w:pPr>
      <w:r>
        <w:rPr>
          <w:b/>
          <w:bCs/>
          <w:lang w:val="et-EE"/>
        </w:rPr>
        <w:t xml:space="preserve">Erakopeerimise </w:t>
      </w:r>
      <w:r w:rsidRPr="008B5EFC">
        <w:rPr>
          <w:b/>
          <w:bCs/>
          <w:lang w:val="et-EE"/>
        </w:rPr>
        <w:t>tasu süsteem</w:t>
      </w:r>
    </w:p>
    <w:p w14:paraId="1BF3957B" w14:textId="1CE4BB1C" w:rsidR="00A56BD8" w:rsidRDefault="007F26DB" w:rsidP="00EC2E49">
      <w:pPr>
        <w:pStyle w:val="Provision2"/>
        <w:rPr>
          <w:lang w:val="et-EE"/>
        </w:rPr>
      </w:pPr>
      <w:r>
        <w:rPr>
          <w:lang w:val="et-EE"/>
        </w:rPr>
        <w:t xml:space="preserve">VTK punktis 1 on </w:t>
      </w:r>
      <w:r w:rsidR="00B90B27">
        <w:rPr>
          <w:lang w:val="et-EE"/>
        </w:rPr>
        <w:t>analüüs</w:t>
      </w:r>
      <w:r w:rsidR="00DA1F4A">
        <w:rPr>
          <w:lang w:val="et-EE"/>
        </w:rPr>
        <w:t>itud</w:t>
      </w:r>
      <w:r w:rsidR="00B90B27">
        <w:rPr>
          <w:lang w:val="et-EE"/>
        </w:rPr>
        <w:t xml:space="preserve"> </w:t>
      </w:r>
      <w:r w:rsidR="007938F6">
        <w:rPr>
          <w:lang w:val="et-EE"/>
        </w:rPr>
        <w:t>autoriõiguse seaduses</w:t>
      </w:r>
      <w:r w:rsidR="007938F6">
        <w:rPr>
          <w:rStyle w:val="FootnoteReference"/>
          <w:lang w:val="et-EE"/>
        </w:rPr>
        <w:footnoteReference w:id="1"/>
      </w:r>
      <w:r w:rsidR="007938F6">
        <w:rPr>
          <w:lang w:val="et-EE"/>
        </w:rPr>
        <w:t xml:space="preserve"> (AutÕS) sätestatud </w:t>
      </w:r>
      <w:r>
        <w:rPr>
          <w:lang w:val="et-EE"/>
        </w:rPr>
        <w:t xml:space="preserve">erakopeerimise tasu </w:t>
      </w:r>
      <w:r w:rsidR="00CF4F5C">
        <w:rPr>
          <w:lang w:val="et-EE"/>
        </w:rPr>
        <w:t>probleemkoht</w:t>
      </w:r>
      <w:r w:rsidR="00DA1F4A">
        <w:rPr>
          <w:lang w:val="et-EE"/>
        </w:rPr>
        <w:t>i</w:t>
      </w:r>
      <w:r w:rsidR="00B90B27">
        <w:rPr>
          <w:lang w:val="et-EE"/>
        </w:rPr>
        <w:t xml:space="preserve"> ja </w:t>
      </w:r>
      <w:r w:rsidR="00CF4F5C">
        <w:rPr>
          <w:lang w:val="et-EE"/>
        </w:rPr>
        <w:t>välja on toodud võimalikud lahendused</w:t>
      </w:r>
      <w:r w:rsidR="005E0B46">
        <w:rPr>
          <w:lang w:val="et-EE"/>
        </w:rPr>
        <w:t>.</w:t>
      </w:r>
    </w:p>
    <w:p w14:paraId="10812C36" w14:textId="76BD6D53" w:rsidR="00344E52" w:rsidRDefault="00B570F6" w:rsidP="00770602">
      <w:pPr>
        <w:pStyle w:val="Provision2"/>
        <w:rPr>
          <w:lang w:val="et-EE"/>
        </w:rPr>
      </w:pPr>
      <w:r>
        <w:rPr>
          <w:lang w:val="et-EE"/>
        </w:rPr>
        <w:t>FETÜ nõustub</w:t>
      </w:r>
      <w:r w:rsidR="00703619">
        <w:rPr>
          <w:lang w:val="et-EE"/>
        </w:rPr>
        <w:t xml:space="preserve"> Justiitsministeeriumi</w:t>
      </w:r>
      <w:r w:rsidR="00CF4F5C">
        <w:rPr>
          <w:lang w:val="et-EE"/>
        </w:rPr>
        <w:t xml:space="preserve"> seisukohaga</w:t>
      </w:r>
      <w:r>
        <w:rPr>
          <w:lang w:val="et-EE"/>
        </w:rPr>
        <w:t>, et</w:t>
      </w:r>
      <w:r w:rsidR="00703619">
        <w:rPr>
          <w:lang w:val="et-EE"/>
        </w:rPr>
        <w:t xml:space="preserve"> erakopeerimise tasu kogumise ja jagamise süsteem vajab muutmist</w:t>
      </w:r>
      <w:r w:rsidR="008563CE">
        <w:rPr>
          <w:lang w:val="et-EE"/>
        </w:rPr>
        <w:t>.</w:t>
      </w:r>
      <w:r w:rsidR="00DA1F4A">
        <w:rPr>
          <w:lang w:val="et-EE"/>
        </w:rPr>
        <w:t xml:space="preserve"> </w:t>
      </w:r>
      <w:r w:rsidR="00E5234C">
        <w:rPr>
          <w:lang w:val="et-EE"/>
        </w:rPr>
        <w:t>FETÜ hinnangul VTK-s pakutud lahendus</w:t>
      </w:r>
      <w:r w:rsidR="00616DE1">
        <w:rPr>
          <w:lang w:val="et-EE"/>
        </w:rPr>
        <w:t>te</w:t>
      </w:r>
      <w:r w:rsidR="00E5234C">
        <w:rPr>
          <w:lang w:val="et-EE"/>
        </w:rPr>
        <w:t xml:space="preserve"> rakendamine </w:t>
      </w:r>
      <w:r w:rsidR="00616DE1">
        <w:rPr>
          <w:lang w:val="et-EE"/>
        </w:rPr>
        <w:t xml:space="preserve">praktikas </w:t>
      </w:r>
      <w:r w:rsidR="00E5234C">
        <w:rPr>
          <w:lang w:val="et-EE"/>
        </w:rPr>
        <w:t xml:space="preserve">ei ole </w:t>
      </w:r>
      <w:r w:rsidR="00616DE1">
        <w:rPr>
          <w:lang w:val="et-EE"/>
        </w:rPr>
        <w:t>otstarbekas.</w:t>
      </w:r>
      <w:r w:rsidR="00E5234C">
        <w:rPr>
          <w:lang w:val="et-EE"/>
        </w:rPr>
        <w:t xml:space="preserve"> </w:t>
      </w:r>
      <w:r w:rsidR="00DA1F4A">
        <w:rPr>
          <w:lang w:val="et-EE"/>
        </w:rPr>
        <w:t xml:space="preserve">FETÜ hinnangul </w:t>
      </w:r>
      <w:r w:rsidR="00616DE1">
        <w:rPr>
          <w:lang w:val="et-EE"/>
        </w:rPr>
        <w:t>tuleks</w:t>
      </w:r>
      <w:r w:rsidR="00DA1F4A">
        <w:rPr>
          <w:lang w:val="et-EE"/>
        </w:rPr>
        <w:t xml:space="preserve"> kaaluda </w:t>
      </w:r>
      <w:r w:rsidR="008B1AF6">
        <w:rPr>
          <w:lang w:val="et-EE"/>
        </w:rPr>
        <w:t>alternatiivset</w:t>
      </w:r>
      <w:r w:rsidR="00DA1F4A">
        <w:rPr>
          <w:lang w:val="et-EE"/>
        </w:rPr>
        <w:t xml:space="preserve"> </w:t>
      </w:r>
      <w:r w:rsidR="008B1AF6">
        <w:rPr>
          <w:lang w:val="et-EE"/>
        </w:rPr>
        <w:t>lahendust</w:t>
      </w:r>
      <w:r w:rsidR="00DA1F4A">
        <w:rPr>
          <w:lang w:val="et-EE"/>
        </w:rPr>
        <w:t xml:space="preserve"> </w:t>
      </w:r>
      <w:r w:rsidR="00531DFC">
        <w:rPr>
          <w:lang w:val="et-EE"/>
        </w:rPr>
        <w:t>VTK-s käsitatud probleemi lahendamiseks</w:t>
      </w:r>
      <w:r w:rsidR="00DA1F4A">
        <w:rPr>
          <w:lang w:val="et-EE"/>
        </w:rPr>
        <w:t>.</w:t>
      </w:r>
      <w:r w:rsidR="00616DE1">
        <w:rPr>
          <w:lang w:val="et-EE"/>
        </w:rPr>
        <w:t xml:space="preserve"> </w:t>
      </w:r>
    </w:p>
    <w:p w14:paraId="3C10B35D" w14:textId="1B588C14" w:rsidR="00EC2212" w:rsidRDefault="00FE6ADF" w:rsidP="00EC2E49">
      <w:pPr>
        <w:pStyle w:val="Provision2"/>
        <w:rPr>
          <w:lang w:val="et-EE"/>
        </w:rPr>
      </w:pPr>
      <w:r>
        <w:rPr>
          <w:lang w:val="et-EE"/>
        </w:rPr>
        <w:t>Praeguse</w:t>
      </w:r>
      <w:r w:rsidR="00166358">
        <w:rPr>
          <w:lang w:val="et-EE"/>
        </w:rPr>
        <w:t xml:space="preserve"> </w:t>
      </w:r>
      <w:r w:rsidR="00B90B27">
        <w:rPr>
          <w:lang w:val="et-EE"/>
        </w:rPr>
        <w:t>süsteemi</w:t>
      </w:r>
      <w:r w:rsidR="00166358">
        <w:rPr>
          <w:lang w:val="et-EE"/>
        </w:rPr>
        <w:t xml:space="preserve"> järgi </w:t>
      </w:r>
      <w:r>
        <w:rPr>
          <w:lang w:val="et-EE"/>
        </w:rPr>
        <w:t xml:space="preserve">koostab </w:t>
      </w:r>
      <w:r w:rsidR="00B90B27">
        <w:rPr>
          <w:lang w:val="et-EE"/>
        </w:rPr>
        <w:t xml:space="preserve">erakopeerimise tasu </w:t>
      </w:r>
      <w:r w:rsidR="002108E9">
        <w:rPr>
          <w:lang w:val="et-EE"/>
        </w:rPr>
        <w:t xml:space="preserve">jaotuskava </w:t>
      </w:r>
      <w:r w:rsidR="00166358">
        <w:rPr>
          <w:lang w:val="et-EE"/>
        </w:rPr>
        <w:t xml:space="preserve">selleks </w:t>
      </w:r>
      <w:r w:rsidR="00770602">
        <w:rPr>
          <w:lang w:val="et-EE"/>
        </w:rPr>
        <w:t xml:space="preserve">spetsiaalselt </w:t>
      </w:r>
      <w:r w:rsidR="00166358">
        <w:rPr>
          <w:lang w:val="et-EE"/>
        </w:rPr>
        <w:t xml:space="preserve">loodud komisjon </w:t>
      </w:r>
      <w:r w:rsidR="00B90B27">
        <w:rPr>
          <w:lang w:val="et-EE"/>
        </w:rPr>
        <w:t>(</w:t>
      </w:r>
      <w:r>
        <w:rPr>
          <w:lang w:val="et-EE"/>
        </w:rPr>
        <w:t>AutÕS § 27 lg 9</w:t>
      </w:r>
      <w:r w:rsidR="00B90B27">
        <w:rPr>
          <w:lang w:val="et-EE"/>
        </w:rPr>
        <w:t>)</w:t>
      </w:r>
      <w:r w:rsidR="00166358">
        <w:rPr>
          <w:lang w:val="et-EE"/>
        </w:rPr>
        <w:t>.</w:t>
      </w:r>
      <w:r w:rsidR="00520F97">
        <w:rPr>
          <w:lang w:val="et-EE"/>
        </w:rPr>
        <w:t xml:space="preserve"> </w:t>
      </w:r>
      <w:r w:rsidR="006C1C72">
        <w:rPr>
          <w:lang w:val="et-EE"/>
        </w:rPr>
        <w:t>K</w:t>
      </w:r>
      <w:r w:rsidR="00520F97">
        <w:rPr>
          <w:lang w:val="et-EE"/>
        </w:rPr>
        <w:t>omisjon koosneb kollektiivse esindamise organisatsioonide (KEO) esindajatest</w:t>
      </w:r>
      <w:r>
        <w:rPr>
          <w:lang w:val="et-EE"/>
        </w:rPr>
        <w:t xml:space="preserve"> </w:t>
      </w:r>
      <w:r w:rsidR="00520F97">
        <w:rPr>
          <w:lang w:val="et-EE"/>
        </w:rPr>
        <w:t>ja peab igal aastal läbirääkimisi jaotuskava koostamiseks. Seaduse ega määruse tasandil ei ole fikseeritud tasu proportsioone</w:t>
      </w:r>
      <w:r w:rsidR="0074467A">
        <w:rPr>
          <w:lang w:val="et-EE"/>
        </w:rPr>
        <w:t>. Tegelikkuses k</w:t>
      </w:r>
      <w:r w:rsidR="00520F97">
        <w:rPr>
          <w:lang w:val="et-EE"/>
        </w:rPr>
        <w:t xml:space="preserve">omisjon </w:t>
      </w:r>
      <w:r w:rsidR="0074467A">
        <w:rPr>
          <w:lang w:val="et-EE"/>
        </w:rPr>
        <w:t>määrab</w:t>
      </w:r>
      <w:r w:rsidR="00E938DA">
        <w:rPr>
          <w:lang w:val="et-EE"/>
        </w:rPr>
        <w:t xml:space="preserve"> </w:t>
      </w:r>
      <w:r w:rsidR="00520F97">
        <w:rPr>
          <w:lang w:val="et-EE"/>
        </w:rPr>
        <w:t xml:space="preserve">tasu proportsioonid </w:t>
      </w:r>
      <w:r w:rsidR="002108E9">
        <w:rPr>
          <w:lang w:val="et-EE"/>
        </w:rPr>
        <w:t xml:space="preserve">vastavalt </w:t>
      </w:r>
      <w:r w:rsidR="0074467A">
        <w:rPr>
          <w:lang w:val="et-EE"/>
        </w:rPr>
        <w:t xml:space="preserve">sellele, kuidas </w:t>
      </w:r>
      <w:r w:rsidR="006C1C72">
        <w:rPr>
          <w:lang w:val="et-EE"/>
        </w:rPr>
        <w:t>KEO-d häälet</w:t>
      </w:r>
      <w:r w:rsidR="00EC294D">
        <w:rPr>
          <w:lang w:val="et-EE"/>
        </w:rPr>
        <w:t>a</w:t>
      </w:r>
      <w:r w:rsidR="0074467A">
        <w:rPr>
          <w:lang w:val="et-EE"/>
        </w:rPr>
        <w:t xml:space="preserve">vad. Ministri </w:t>
      </w:r>
      <w:r w:rsidR="00EC294D">
        <w:rPr>
          <w:lang w:val="et-EE"/>
        </w:rPr>
        <w:t>ülesanne piirdub vastava ettepanku kinnitamisega.</w:t>
      </w:r>
    </w:p>
    <w:p w14:paraId="7AD124A0" w14:textId="396BC9C3" w:rsidR="00520F97" w:rsidRDefault="00520F97" w:rsidP="00EC2E49">
      <w:pPr>
        <w:pStyle w:val="Provision2"/>
        <w:rPr>
          <w:lang w:val="et-EE"/>
        </w:rPr>
      </w:pPr>
      <w:r>
        <w:rPr>
          <w:lang w:val="et-EE"/>
        </w:rPr>
        <w:t xml:space="preserve">Erinevate </w:t>
      </w:r>
      <w:r w:rsidR="00EC294D">
        <w:rPr>
          <w:lang w:val="et-EE"/>
        </w:rPr>
        <w:t>KEO-de</w:t>
      </w:r>
      <w:r>
        <w:rPr>
          <w:lang w:val="et-EE"/>
        </w:rPr>
        <w:t xml:space="preserve"> vahel iga</w:t>
      </w:r>
      <w:r w:rsidR="002108E9">
        <w:rPr>
          <w:lang w:val="et-EE"/>
        </w:rPr>
        <w:t xml:space="preserve">-aastaste </w:t>
      </w:r>
      <w:r>
        <w:rPr>
          <w:lang w:val="et-EE"/>
        </w:rPr>
        <w:t xml:space="preserve">läbirääkimiste pidamisega kaasnevad </w:t>
      </w:r>
      <w:r w:rsidR="00B90B27">
        <w:rPr>
          <w:lang w:val="et-EE"/>
        </w:rPr>
        <w:t xml:space="preserve">aga </w:t>
      </w:r>
      <w:r>
        <w:rPr>
          <w:lang w:val="et-EE"/>
        </w:rPr>
        <w:t xml:space="preserve">ulatuslikud </w:t>
      </w:r>
      <w:r w:rsidR="00684A29">
        <w:rPr>
          <w:lang w:val="et-EE"/>
        </w:rPr>
        <w:t>vaidlused</w:t>
      </w:r>
      <w:r>
        <w:rPr>
          <w:lang w:val="et-EE"/>
        </w:rPr>
        <w:t xml:space="preserve">, sest </w:t>
      </w:r>
      <w:r w:rsidR="0039636B">
        <w:rPr>
          <w:lang w:val="et-EE"/>
        </w:rPr>
        <w:t xml:space="preserve">huvigrupid peavad </w:t>
      </w:r>
      <w:r>
        <w:rPr>
          <w:lang w:val="et-EE"/>
        </w:rPr>
        <w:t xml:space="preserve">kokkuleppe saavutamiseks </w:t>
      </w:r>
      <w:r w:rsidR="0039636B">
        <w:rPr>
          <w:lang w:val="et-EE"/>
        </w:rPr>
        <w:t>jõudma kompromissini.</w:t>
      </w:r>
      <w:r w:rsidR="00B90B27">
        <w:rPr>
          <w:lang w:val="et-EE"/>
        </w:rPr>
        <w:t xml:space="preserve"> </w:t>
      </w:r>
      <w:r w:rsidR="005032E5">
        <w:rPr>
          <w:lang w:val="et-EE"/>
        </w:rPr>
        <w:t xml:space="preserve">Kuna kokkuleppeid ei saavutata, siis toimub jaotuskava osas hääletamine. </w:t>
      </w:r>
      <w:r w:rsidR="002108E9">
        <w:rPr>
          <w:lang w:val="et-EE"/>
        </w:rPr>
        <w:t xml:space="preserve">On selge, et KEO-de esindajatel on huvi oma valdkonnale võimalikult suurt rahastust saada. </w:t>
      </w:r>
      <w:r w:rsidR="001E2E24">
        <w:rPr>
          <w:lang w:val="et-EE"/>
        </w:rPr>
        <w:t xml:space="preserve">Kompromissi leidmine sellises olukorras on </w:t>
      </w:r>
      <w:r w:rsidR="00574475">
        <w:rPr>
          <w:lang w:val="et-EE"/>
        </w:rPr>
        <w:t xml:space="preserve">keerukas ja </w:t>
      </w:r>
      <w:r w:rsidR="005032E5">
        <w:rPr>
          <w:lang w:val="et-EE"/>
        </w:rPr>
        <w:t>toob kaasa</w:t>
      </w:r>
      <w:r w:rsidR="00574475">
        <w:rPr>
          <w:lang w:val="et-EE"/>
        </w:rPr>
        <w:t xml:space="preserve"> </w:t>
      </w:r>
      <w:r w:rsidR="005032E5">
        <w:rPr>
          <w:lang w:val="et-EE"/>
        </w:rPr>
        <w:t>kohtu</w:t>
      </w:r>
      <w:r w:rsidR="00574475">
        <w:rPr>
          <w:lang w:val="et-EE"/>
        </w:rPr>
        <w:t>vaidlus</w:t>
      </w:r>
      <w:r w:rsidR="005032E5">
        <w:rPr>
          <w:lang w:val="et-EE"/>
        </w:rPr>
        <w:t>i</w:t>
      </w:r>
      <w:r w:rsidR="00574475">
        <w:rPr>
          <w:lang w:val="et-EE"/>
        </w:rPr>
        <w:t xml:space="preserve">. </w:t>
      </w:r>
      <w:r w:rsidR="00880019">
        <w:rPr>
          <w:lang w:val="et-EE"/>
        </w:rPr>
        <w:t>Olukord tekitab ebakindlust ka</w:t>
      </w:r>
      <w:r w:rsidR="00574475">
        <w:rPr>
          <w:lang w:val="et-EE"/>
        </w:rPr>
        <w:t xml:space="preserve"> huvigruppidele, sest valdkond võib saada </w:t>
      </w:r>
      <w:r w:rsidR="00B90B27">
        <w:rPr>
          <w:lang w:val="et-EE"/>
        </w:rPr>
        <w:t>ühel aastal rohkem, teisel aastal vähem rahastust.</w:t>
      </w:r>
    </w:p>
    <w:p w14:paraId="51991095" w14:textId="2E5373E4" w:rsidR="00FE6ADF" w:rsidRDefault="00EC2212" w:rsidP="00D15E88">
      <w:pPr>
        <w:pStyle w:val="Provision2"/>
        <w:rPr>
          <w:lang w:val="et-EE"/>
        </w:rPr>
      </w:pPr>
      <w:r w:rsidRPr="001C223B">
        <w:rPr>
          <w:lang w:val="et-EE"/>
        </w:rPr>
        <w:t xml:space="preserve">FETÜ hinnangul on probleemi lahenduseks mõistlik </w:t>
      </w:r>
      <w:r w:rsidR="00E938DA">
        <w:rPr>
          <w:lang w:val="et-EE"/>
        </w:rPr>
        <w:t xml:space="preserve">erakopeerimise </w:t>
      </w:r>
      <w:r w:rsidR="009D040D" w:rsidRPr="001C223B">
        <w:rPr>
          <w:lang w:val="et-EE"/>
        </w:rPr>
        <w:t xml:space="preserve">tasu proportsioonid </w:t>
      </w:r>
      <w:r w:rsidR="008A10B3" w:rsidRPr="001C223B">
        <w:rPr>
          <w:lang w:val="et-EE"/>
        </w:rPr>
        <w:t>fikseerida</w:t>
      </w:r>
      <w:r w:rsidR="00DB08A2">
        <w:rPr>
          <w:lang w:val="et-EE"/>
        </w:rPr>
        <w:t xml:space="preserve"> seadusega</w:t>
      </w:r>
      <w:r w:rsidR="00574475">
        <w:rPr>
          <w:lang w:val="et-EE"/>
        </w:rPr>
        <w:t>. Sarnane süsteem on</w:t>
      </w:r>
      <w:r w:rsidR="008A10B3" w:rsidRPr="001C223B">
        <w:rPr>
          <w:lang w:val="et-EE"/>
        </w:rPr>
        <w:t xml:space="preserve"> </w:t>
      </w:r>
      <w:r w:rsidR="00AB590B" w:rsidRPr="001C223B">
        <w:rPr>
          <w:lang w:val="et-EE"/>
        </w:rPr>
        <w:t xml:space="preserve">2020. aasta seisuga </w:t>
      </w:r>
      <w:r w:rsidR="00574475">
        <w:rPr>
          <w:lang w:val="et-EE"/>
        </w:rPr>
        <w:t xml:space="preserve">kasutusel ka järgnevates </w:t>
      </w:r>
      <w:r w:rsidR="00AB590B" w:rsidRPr="001C223B">
        <w:rPr>
          <w:lang w:val="et-EE"/>
        </w:rPr>
        <w:t>EL liikmesriikides: Belgia, Tšehhi, Taani, Itaalia, Leedu, Poola, Portugal, Rumeenia, Slovakkia, Sloveenia, Hispaania</w:t>
      </w:r>
      <w:r w:rsidR="00AB590B">
        <w:rPr>
          <w:rStyle w:val="FootnoteReference"/>
          <w:lang w:val="et-EE"/>
        </w:rPr>
        <w:footnoteReference w:id="2"/>
      </w:r>
      <w:r w:rsidR="00AB590B" w:rsidRPr="001C223B">
        <w:rPr>
          <w:lang w:val="et-EE"/>
        </w:rPr>
        <w:t xml:space="preserve">. </w:t>
      </w:r>
    </w:p>
    <w:p w14:paraId="2D34BC89" w14:textId="7C83A2F8" w:rsidR="00E938DA" w:rsidRDefault="0010243C" w:rsidP="00D15E88">
      <w:pPr>
        <w:pStyle w:val="Provision2"/>
        <w:rPr>
          <w:lang w:val="et-EE"/>
        </w:rPr>
      </w:pPr>
      <w:r>
        <w:rPr>
          <w:lang w:val="et-EE"/>
        </w:rPr>
        <w:lastRenderedPageBreak/>
        <w:t>Õigusaktide hie</w:t>
      </w:r>
      <w:r w:rsidR="00D6547A">
        <w:rPr>
          <w:lang w:val="et-EE"/>
        </w:rPr>
        <w:t>ra</w:t>
      </w:r>
      <w:r>
        <w:rPr>
          <w:lang w:val="et-EE"/>
        </w:rPr>
        <w:t>rhias</w:t>
      </w:r>
      <w:r w:rsidR="00E938DA">
        <w:rPr>
          <w:lang w:val="et-EE"/>
        </w:rPr>
        <w:t xml:space="preserve"> o</w:t>
      </w:r>
      <w:r>
        <w:rPr>
          <w:lang w:val="et-EE"/>
        </w:rPr>
        <w:t>leks</w:t>
      </w:r>
      <w:r w:rsidR="00E938DA">
        <w:rPr>
          <w:lang w:val="et-EE"/>
        </w:rPr>
        <w:t xml:space="preserve"> mõistlik erakopeerimise </w:t>
      </w:r>
      <w:r w:rsidR="00C0357A">
        <w:rPr>
          <w:lang w:val="et-EE"/>
        </w:rPr>
        <w:t xml:space="preserve">jaotuskava </w:t>
      </w:r>
      <w:r w:rsidR="00E938DA">
        <w:rPr>
          <w:lang w:val="et-EE"/>
        </w:rPr>
        <w:t>sätestada määruses</w:t>
      </w:r>
      <w:r w:rsidR="00D6547A">
        <w:rPr>
          <w:lang w:val="et-EE"/>
        </w:rPr>
        <w:t xml:space="preserve"> (kehtivas õigused samuti määrus</w:t>
      </w:r>
      <w:r w:rsidR="00E938DA">
        <w:rPr>
          <w:rStyle w:val="FootnoteReference"/>
          <w:lang w:val="et-EE"/>
        </w:rPr>
        <w:footnoteReference w:id="3"/>
      </w:r>
      <w:r w:rsidR="00C0357A">
        <w:rPr>
          <w:lang w:val="et-EE"/>
        </w:rPr>
        <w:t>)</w:t>
      </w:r>
      <w:r w:rsidR="00E938DA">
        <w:rPr>
          <w:lang w:val="et-EE"/>
        </w:rPr>
        <w:t xml:space="preserve">. </w:t>
      </w:r>
      <w:r w:rsidR="009523FD">
        <w:rPr>
          <w:lang w:val="et-EE"/>
        </w:rPr>
        <w:t>Sarnane süsteem on Eestis kasutuses ka nn paljundushüvitise</w:t>
      </w:r>
      <w:r w:rsidR="00D9747B">
        <w:rPr>
          <w:rStyle w:val="FootnoteReference"/>
          <w:lang w:val="et-EE"/>
        </w:rPr>
        <w:footnoteReference w:id="4"/>
      </w:r>
      <w:r w:rsidR="009523FD">
        <w:rPr>
          <w:lang w:val="et-EE"/>
        </w:rPr>
        <w:t xml:space="preserve"> ja laenutushüvitise</w:t>
      </w:r>
      <w:r w:rsidR="00D9747B">
        <w:rPr>
          <w:rStyle w:val="FootnoteReference"/>
          <w:lang w:val="et-EE"/>
        </w:rPr>
        <w:footnoteReference w:id="5"/>
      </w:r>
      <w:r w:rsidR="009523FD">
        <w:rPr>
          <w:lang w:val="et-EE"/>
        </w:rPr>
        <w:t xml:space="preserve"> puhul, kus </w:t>
      </w:r>
      <w:r w:rsidR="00D9747B">
        <w:rPr>
          <w:lang w:val="et-EE"/>
        </w:rPr>
        <w:t>õigustatud</w:t>
      </w:r>
      <w:r w:rsidR="009523FD">
        <w:rPr>
          <w:lang w:val="et-EE"/>
        </w:rPr>
        <w:t xml:space="preserve"> isikutele väljamakstavad tasud</w:t>
      </w:r>
      <w:r w:rsidR="00C0357A">
        <w:rPr>
          <w:lang w:val="et-EE"/>
        </w:rPr>
        <w:t>e proportsioonid</w:t>
      </w:r>
      <w:r w:rsidR="009523FD">
        <w:rPr>
          <w:lang w:val="et-EE"/>
        </w:rPr>
        <w:t xml:space="preserve"> on fikseeritud </w:t>
      </w:r>
      <w:r w:rsidR="00D9747B">
        <w:rPr>
          <w:lang w:val="et-EE"/>
        </w:rPr>
        <w:t>määruse tasandil</w:t>
      </w:r>
      <w:r w:rsidR="009523FD">
        <w:rPr>
          <w:lang w:val="et-EE"/>
        </w:rPr>
        <w:t>.</w:t>
      </w:r>
    </w:p>
    <w:p w14:paraId="65036127" w14:textId="193C148F" w:rsidR="0037172F" w:rsidRDefault="00943141" w:rsidP="00F82652">
      <w:pPr>
        <w:pStyle w:val="Provision2"/>
        <w:rPr>
          <w:lang w:val="et-EE"/>
        </w:rPr>
      </w:pPr>
      <w:r>
        <w:rPr>
          <w:lang w:val="et-EE"/>
        </w:rPr>
        <w:t xml:space="preserve">Erakopeerimise tasu proportsioonide </w:t>
      </w:r>
      <w:r w:rsidR="001C223B">
        <w:rPr>
          <w:lang w:val="et-EE"/>
        </w:rPr>
        <w:t xml:space="preserve">fikseerimine lihtsustab FETÜ hinnangul oluliselt erakopeerimise tasude jagamise süsteemi. </w:t>
      </w:r>
      <w:r>
        <w:rPr>
          <w:lang w:val="et-EE"/>
        </w:rPr>
        <w:t>Selle asemel, et komisjon peaks iga-aastaseid läbirääkimisi</w:t>
      </w:r>
      <w:r w:rsidR="00F82652">
        <w:rPr>
          <w:lang w:val="et-EE"/>
        </w:rPr>
        <w:t xml:space="preserve"> tasumäärade üle</w:t>
      </w:r>
      <w:r>
        <w:rPr>
          <w:lang w:val="et-EE"/>
        </w:rPr>
        <w:t>, saa</w:t>
      </w:r>
      <w:r w:rsidR="00F82652">
        <w:rPr>
          <w:lang w:val="et-EE"/>
        </w:rPr>
        <w:t>ks</w:t>
      </w:r>
      <w:r>
        <w:rPr>
          <w:lang w:val="et-EE"/>
        </w:rPr>
        <w:t xml:space="preserve"> tasude väljamaksmisel lähtuda erakopeerimise määruses sätestatud tasumääradest. </w:t>
      </w:r>
      <w:r w:rsidR="00F82652">
        <w:rPr>
          <w:lang w:val="et-EE"/>
        </w:rPr>
        <w:t xml:space="preserve">Kuivõrd komisjon ei koostaks enam erakopeerimise tasu jaotuskava, ei oleks komisjoni tegevusel enam eesmärke ja komisjoni </w:t>
      </w:r>
      <w:r w:rsidR="00A26899">
        <w:rPr>
          <w:lang w:val="et-EE"/>
        </w:rPr>
        <w:t xml:space="preserve">ei oleks </w:t>
      </w:r>
      <w:r w:rsidR="00F82652">
        <w:rPr>
          <w:lang w:val="et-EE"/>
        </w:rPr>
        <w:t>ül</w:t>
      </w:r>
      <w:r w:rsidR="00A26899">
        <w:rPr>
          <w:lang w:val="et-EE"/>
        </w:rPr>
        <w:t>dse vaja</w:t>
      </w:r>
      <w:r w:rsidR="00F82652">
        <w:rPr>
          <w:lang w:val="et-EE"/>
        </w:rPr>
        <w:t xml:space="preserve">. </w:t>
      </w:r>
      <w:r w:rsidR="00637477">
        <w:rPr>
          <w:lang w:val="et-EE"/>
        </w:rPr>
        <w:t xml:space="preserve">Riik ei osaleks jaotuskava menetluses ning tasu jaotus toimuks eraõiguslikult (sh kohtuvaidlused). </w:t>
      </w:r>
      <w:r>
        <w:rPr>
          <w:lang w:val="et-EE"/>
        </w:rPr>
        <w:t>Se</w:t>
      </w:r>
      <w:r w:rsidR="00A26899">
        <w:rPr>
          <w:lang w:val="et-EE"/>
        </w:rPr>
        <w:t>lleks</w:t>
      </w:r>
      <w:r>
        <w:rPr>
          <w:lang w:val="et-EE"/>
        </w:rPr>
        <w:t xml:space="preserve"> tuleb m</w:t>
      </w:r>
      <w:r w:rsidR="00F4486E">
        <w:rPr>
          <w:lang w:val="et-EE"/>
        </w:rPr>
        <w:t>uuta AutÕS § 27 lõikeid 9 ja 11.</w:t>
      </w:r>
      <w:r w:rsidR="002014B4">
        <w:rPr>
          <w:lang w:val="et-EE"/>
        </w:rPr>
        <w:t xml:space="preserve"> </w:t>
      </w:r>
    </w:p>
    <w:p w14:paraId="2ED685F2" w14:textId="491D5C53" w:rsidR="009010CB" w:rsidRPr="0037172F" w:rsidRDefault="00F82652" w:rsidP="00DF4559">
      <w:pPr>
        <w:pStyle w:val="Provision2"/>
        <w:rPr>
          <w:lang w:val="et-EE"/>
        </w:rPr>
      </w:pPr>
      <w:r>
        <w:rPr>
          <w:lang w:val="et-EE"/>
        </w:rPr>
        <w:t>E</w:t>
      </w:r>
      <w:r w:rsidR="001C223B" w:rsidRPr="0037172F">
        <w:rPr>
          <w:lang w:val="et-EE"/>
        </w:rPr>
        <w:t xml:space="preserve">rakopeerimise </w:t>
      </w:r>
      <w:r>
        <w:rPr>
          <w:lang w:val="et-EE"/>
        </w:rPr>
        <w:t>tasu makstaks</w:t>
      </w:r>
      <w:r w:rsidR="00A26899">
        <w:rPr>
          <w:lang w:val="et-EE"/>
        </w:rPr>
        <w:t>e</w:t>
      </w:r>
      <w:r>
        <w:rPr>
          <w:lang w:val="et-EE"/>
        </w:rPr>
        <w:t xml:space="preserve"> välja </w:t>
      </w:r>
      <w:r w:rsidR="00DA356D">
        <w:rPr>
          <w:lang w:val="et-EE"/>
        </w:rPr>
        <w:t xml:space="preserve">õigustatud isikuid esindavatele </w:t>
      </w:r>
      <w:r>
        <w:rPr>
          <w:lang w:val="et-EE"/>
        </w:rPr>
        <w:t>KEO-dele</w:t>
      </w:r>
      <w:r w:rsidR="00DA356D">
        <w:rPr>
          <w:lang w:val="et-EE"/>
        </w:rPr>
        <w:t xml:space="preserve"> </w:t>
      </w:r>
      <w:r>
        <w:rPr>
          <w:lang w:val="et-EE"/>
        </w:rPr>
        <w:t>vastavalt määruses kehtestatud proportsioonidele</w:t>
      </w:r>
      <w:r w:rsidR="0037172F">
        <w:rPr>
          <w:lang w:val="et-EE"/>
        </w:rPr>
        <w:t xml:space="preserve">. </w:t>
      </w:r>
      <w:r w:rsidR="00DA356D">
        <w:rPr>
          <w:lang w:val="et-EE"/>
        </w:rPr>
        <w:t>Vastav KEO jaotaks seejärel tasu oma liikmetele lähtudes KEO enda eeskirjadest.</w:t>
      </w:r>
    </w:p>
    <w:p w14:paraId="4AC481E8" w14:textId="609B0D33" w:rsidR="00EA1F71" w:rsidRDefault="00A233FC" w:rsidP="00621D6A">
      <w:pPr>
        <w:pStyle w:val="Provision2"/>
        <w:rPr>
          <w:lang w:val="et-EE"/>
        </w:rPr>
      </w:pPr>
      <w:r>
        <w:rPr>
          <w:lang w:val="et-EE"/>
        </w:rPr>
        <w:t xml:space="preserve">FETÜ teeb ettepaneku </w:t>
      </w:r>
      <w:r w:rsidR="00DA356D">
        <w:rPr>
          <w:lang w:val="et-EE"/>
        </w:rPr>
        <w:t>kehtestada järgnev</w:t>
      </w:r>
      <w:r>
        <w:rPr>
          <w:lang w:val="et-EE"/>
        </w:rPr>
        <w:t xml:space="preserve"> </w:t>
      </w:r>
      <w:r w:rsidR="00DA356D">
        <w:rPr>
          <w:lang w:val="et-EE"/>
        </w:rPr>
        <w:t xml:space="preserve">erakopeerimise </w:t>
      </w:r>
      <w:r w:rsidR="00166358">
        <w:rPr>
          <w:lang w:val="et-EE"/>
        </w:rPr>
        <w:t xml:space="preserve">tasu </w:t>
      </w:r>
      <w:r w:rsidR="00DA356D">
        <w:rPr>
          <w:lang w:val="et-EE"/>
        </w:rPr>
        <w:t>jaotamise mudel</w:t>
      </w:r>
      <w:r>
        <w:rPr>
          <w:lang w:val="et-EE"/>
        </w:rPr>
        <w:t>:</w:t>
      </w:r>
    </w:p>
    <w:p w14:paraId="751A9BF8" w14:textId="26C88CA4" w:rsidR="00A233FC" w:rsidRDefault="00A233FC" w:rsidP="00A233FC">
      <w:pPr>
        <w:pStyle w:val="Provision3"/>
        <w:rPr>
          <w:lang w:val="et-EE"/>
        </w:rPr>
      </w:pPr>
      <w:r>
        <w:rPr>
          <w:lang w:val="et-EE"/>
        </w:rPr>
        <w:t>50% audio valdkonnale</w:t>
      </w:r>
      <w:r w:rsidR="00166358">
        <w:rPr>
          <w:lang w:val="et-E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3144"/>
        <w:gridCol w:w="2877"/>
      </w:tblGrid>
      <w:tr w:rsidR="00166358" w:rsidRPr="00166358" w14:paraId="2DF148B1" w14:textId="5E8E4AB9" w:rsidTr="00166358">
        <w:tc>
          <w:tcPr>
            <w:tcW w:w="3329" w:type="dxa"/>
          </w:tcPr>
          <w:p w14:paraId="3DF3ECF7" w14:textId="698B7D31" w:rsidR="00166358" w:rsidRPr="00166358" w:rsidRDefault="00166358" w:rsidP="00166358">
            <w:pPr>
              <w:jc w:val="center"/>
              <w:rPr>
                <w:b/>
                <w:bCs/>
                <w:lang w:val="et-EE"/>
              </w:rPr>
            </w:pPr>
            <w:r w:rsidRPr="00166358">
              <w:rPr>
                <w:b/>
                <w:bCs/>
                <w:lang w:val="et-EE"/>
              </w:rPr>
              <w:t>Proportsioon</w:t>
            </w:r>
          </w:p>
        </w:tc>
        <w:tc>
          <w:tcPr>
            <w:tcW w:w="3144" w:type="dxa"/>
          </w:tcPr>
          <w:p w14:paraId="51D68676" w14:textId="0D6A6C9A" w:rsidR="00166358" w:rsidRPr="00166358" w:rsidRDefault="00166358" w:rsidP="00166358">
            <w:pPr>
              <w:jc w:val="center"/>
              <w:rPr>
                <w:b/>
                <w:bCs/>
                <w:lang w:val="et-EE"/>
              </w:rPr>
            </w:pPr>
            <w:r w:rsidRPr="00166358">
              <w:rPr>
                <w:b/>
                <w:bCs/>
                <w:lang w:val="et-EE"/>
              </w:rPr>
              <w:t>Õiguste omajad</w:t>
            </w:r>
          </w:p>
        </w:tc>
        <w:tc>
          <w:tcPr>
            <w:tcW w:w="2877" w:type="dxa"/>
          </w:tcPr>
          <w:p w14:paraId="13D58AC7" w14:textId="187467E5" w:rsidR="00166358" w:rsidRPr="00166358" w:rsidRDefault="00166358" w:rsidP="00166358">
            <w:pPr>
              <w:jc w:val="center"/>
              <w:rPr>
                <w:b/>
                <w:bCs/>
                <w:lang w:val="et-EE"/>
              </w:rPr>
            </w:pPr>
            <w:r w:rsidRPr="00166358">
              <w:rPr>
                <w:b/>
                <w:bCs/>
                <w:lang w:val="et-EE"/>
              </w:rPr>
              <w:t>KEO ja proportsioon valdkonna summast</w:t>
            </w:r>
          </w:p>
        </w:tc>
      </w:tr>
      <w:tr w:rsidR="00166358" w14:paraId="7978EA60" w14:textId="0239B988" w:rsidTr="00166358">
        <w:tc>
          <w:tcPr>
            <w:tcW w:w="3329" w:type="dxa"/>
          </w:tcPr>
          <w:p w14:paraId="2FEF5C76" w14:textId="120E9F85" w:rsidR="00166358" w:rsidRDefault="00166358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33</w:t>
            </w:r>
            <w:r w:rsidR="00EC2212">
              <w:rPr>
                <w:lang w:val="et-EE"/>
              </w:rPr>
              <w:t>.3</w:t>
            </w:r>
            <w:r>
              <w:rPr>
                <w:lang w:val="et-EE"/>
              </w:rPr>
              <w:t>%</w:t>
            </w:r>
          </w:p>
        </w:tc>
        <w:tc>
          <w:tcPr>
            <w:tcW w:w="3144" w:type="dxa"/>
          </w:tcPr>
          <w:p w14:paraId="0CBAE892" w14:textId="1D1BBDC2" w:rsidR="00166358" w:rsidRDefault="00166358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Autorid</w:t>
            </w:r>
          </w:p>
        </w:tc>
        <w:tc>
          <w:tcPr>
            <w:tcW w:w="2877" w:type="dxa"/>
          </w:tcPr>
          <w:p w14:paraId="7B8F4396" w14:textId="057064FD" w:rsidR="00166358" w:rsidRDefault="00166358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E</w:t>
            </w:r>
            <w:r w:rsidR="00881A7F">
              <w:rPr>
                <w:lang w:val="et-EE"/>
              </w:rPr>
              <w:t>AÜ</w:t>
            </w:r>
          </w:p>
        </w:tc>
      </w:tr>
      <w:tr w:rsidR="00166358" w14:paraId="4358185F" w14:textId="4220BFA4" w:rsidTr="00166358">
        <w:tc>
          <w:tcPr>
            <w:tcW w:w="3329" w:type="dxa"/>
          </w:tcPr>
          <w:p w14:paraId="623934D4" w14:textId="68DAA521" w:rsidR="00166358" w:rsidRDefault="00166358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33</w:t>
            </w:r>
            <w:r w:rsidR="00EC2212">
              <w:rPr>
                <w:lang w:val="et-EE"/>
              </w:rPr>
              <w:t>.3</w:t>
            </w:r>
            <w:r>
              <w:rPr>
                <w:lang w:val="et-EE"/>
              </w:rPr>
              <w:t>%</w:t>
            </w:r>
          </w:p>
        </w:tc>
        <w:tc>
          <w:tcPr>
            <w:tcW w:w="3144" w:type="dxa"/>
          </w:tcPr>
          <w:p w14:paraId="47AC9836" w14:textId="113CE814" w:rsidR="00166358" w:rsidRDefault="00166358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Esitajad</w:t>
            </w:r>
          </w:p>
        </w:tc>
        <w:tc>
          <w:tcPr>
            <w:tcW w:w="2877" w:type="dxa"/>
          </w:tcPr>
          <w:p w14:paraId="7D64C194" w14:textId="6C677202" w:rsidR="00166358" w:rsidRDefault="00166358" w:rsidP="00B44EEA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EEL</w:t>
            </w:r>
          </w:p>
        </w:tc>
      </w:tr>
      <w:tr w:rsidR="00166358" w14:paraId="2EE944B7" w14:textId="1D634427" w:rsidTr="00166358">
        <w:tc>
          <w:tcPr>
            <w:tcW w:w="3329" w:type="dxa"/>
          </w:tcPr>
          <w:p w14:paraId="6762B590" w14:textId="73C28ED3" w:rsidR="00166358" w:rsidRDefault="00166358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33</w:t>
            </w:r>
            <w:r w:rsidR="00EC2212">
              <w:rPr>
                <w:lang w:val="et-EE"/>
              </w:rPr>
              <w:t>.3</w:t>
            </w:r>
            <w:r>
              <w:rPr>
                <w:lang w:val="et-EE"/>
              </w:rPr>
              <w:t>%</w:t>
            </w:r>
          </w:p>
        </w:tc>
        <w:tc>
          <w:tcPr>
            <w:tcW w:w="3144" w:type="dxa"/>
          </w:tcPr>
          <w:p w14:paraId="50DC4FAB" w14:textId="6FE31158" w:rsidR="00166358" w:rsidRDefault="003A2921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Fonogrammit</w:t>
            </w:r>
            <w:r w:rsidR="00166358">
              <w:rPr>
                <w:lang w:val="et-EE"/>
              </w:rPr>
              <w:t>ootjad</w:t>
            </w:r>
          </w:p>
        </w:tc>
        <w:tc>
          <w:tcPr>
            <w:tcW w:w="2877" w:type="dxa"/>
          </w:tcPr>
          <w:p w14:paraId="043A498A" w14:textId="4EC6D062" w:rsidR="00166358" w:rsidRDefault="00166358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EFÜ</w:t>
            </w:r>
          </w:p>
        </w:tc>
      </w:tr>
    </w:tbl>
    <w:p w14:paraId="00C4B0FD" w14:textId="77777777" w:rsidR="00166358" w:rsidRDefault="00166358" w:rsidP="00166358">
      <w:pPr>
        <w:rPr>
          <w:lang w:val="et-EE"/>
        </w:rPr>
      </w:pPr>
    </w:p>
    <w:p w14:paraId="4540A99F" w14:textId="21F86FBB" w:rsidR="00326457" w:rsidRDefault="00326457" w:rsidP="00A233FC">
      <w:pPr>
        <w:pStyle w:val="Provision3"/>
        <w:rPr>
          <w:lang w:val="et-EE"/>
        </w:rPr>
      </w:pPr>
      <w:r>
        <w:rPr>
          <w:lang w:val="et-EE"/>
        </w:rPr>
        <w:t>50% audiovisuaal valdkonnale</w:t>
      </w:r>
      <w:r w:rsidR="00166358">
        <w:rPr>
          <w:lang w:val="et-E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3144"/>
        <w:gridCol w:w="2877"/>
      </w:tblGrid>
      <w:tr w:rsidR="00166358" w:rsidRPr="00166358" w14:paraId="2F496E3C" w14:textId="4E3F5ED2" w:rsidTr="00166358">
        <w:tc>
          <w:tcPr>
            <w:tcW w:w="3329" w:type="dxa"/>
          </w:tcPr>
          <w:p w14:paraId="26D716E5" w14:textId="1FAFE4C4" w:rsidR="00166358" w:rsidRPr="00166358" w:rsidRDefault="00166358" w:rsidP="00166358">
            <w:pPr>
              <w:jc w:val="center"/>
              <w:rPr>
                <w:b/>
                <w:bCs/>
                <w:lang w:val="et-EE"/>
              </w:rPr>
            </w:pPr>
            <w:r w:rsidRPr="00166358">
              <w:rPr>
                <w:b/>
                <w:bCs/>
                <w:lang w:val="et-EE"/>
              </w:rPr>
              <w:t>Proportsioon</w:t>
            </w:r>
          </w:p>
        </w:tc>
        <w:tc>
          <w:tcPr>
            <w:tcW w:w="3144" w:type="dxa"/>
          </w:tcPr>
          <w:p w14:paraId="24962656" w14:textId="1102C25E" w:rsidR="00166358" w:rsidRPr="00166358" w:rsidRDefault="00166358" w:rsidP="00166358">
            <w:pPr>
              <w:jc w:val="center"/>
              <w:rPr>
                <w:b/>
                <w:bCs/>
                <w:lang w:val="et-EE"/>
              </w:rPr>
            </w:pPr>
            <w:r w:rsidRPr="00166358">
              <w:rPr>
                <w:b/>
                <w:bCs/>
                <w:lang w:val="et-EE"/>
              </w:rPr>
              <w:t>Õiguste omajad</w:t>
            </w:r>
          </w:p>
        </w:tc>
        <w:tc>
          <w:tcPr>
            <w:tcW w:w="2877" w:type="dxa"/>
          </w:tcPr>
          <w:p w14:paraId="70258863" w14:textId="53407DEF" w:rsidR="00166358" w:rsidRPr="00166358" w:rsidRDefault="00166358" w:rsidP="00166358">
            <w:pPr>
              <w:jc w:val="center"/>
              <w:rPr>
                <w:b/>
                <w:bCs/>
                <w:lang w:val="et-EE"/>
              </w:rPr>
            </w:pPr>
            <w:r w:rsidRPr="00166358">
              <w:rPr>
                <w:b/>
                <w:bCs/>
                <w:lang w:val="et-EE"/>
              </w:rPr>
              <w:t>KEO ja proportsioon valdkonna summast</w:t>
            </w:r>
          </w:p>
        </w:tc>
      </w:tr>
      <w:tr w:rsidR="00166358" w14:paraId="491FBB55" w14:textId="6AEE1F98" w:rsidTr="00166358">
        <w:tc>
          <w:tcPr>
            <w:tcW w:w="3329" w:type="dxa"/>
          </w:tcPr>
          <w:p w14:paraId="12F6D48D" w14:textId="277ED780" w:rsidR="00166358" w:rsidRDefault="00166358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CE27BD">
              <w:rPr>
                <w:lang w:val="et-EE"/>
              </w:rPr>
              <w:t>2</w:t>
            </w:r>
            <w:r>
              <w:rPr>
                <w:lang w:val="et-EE"/>
              </w:rPr>
              <w:t>%</w:t>
            </w:r>
          </w:p>
        </w:tc>
        <w:tc>
          <w:tcPr>
            <w:tcW w:w="3144" w:type="dxa"/>
          </w:tcPr>
          <w:p w14:paraId="2244EC08" w14:textId="1A0CA0DF" w:rsidR="00166358" w:rsidRDefault="00166358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Autorid</w:t>
            </w:r>
            <w:r w:rsidR="00C641DD">
              <w:rPr>
                <w:lang w:val="et-EE"/>
              </w:rPr>
              <w:t xml:space="preserve"> (režissöör, operaator, kunstnik, stsenarist)</w:t>
            </w:r>
          </w:p>
        </w:tc>
        <w:tc>
          <w:tcPr>
            <w:tcW w:w="2877" w:type="dxa"/>
          </w:tcPr>
          <w:p w14:paraId="4C3EFE22" w14:textId="6147FE62" w:rsidR="00166358" w:rsidRDefault="00166358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EAAL</w:t>
            </w:r>
          </w:p>
        </w:tc>
      </w:tr>
      <w:tr w:rsidR="00166358" w14:paraId="41FF0522" w14:textId="27A83831" w:rsidTr="00166358">
        <w:tc>
          <w:tcPr>
            <w:tcW w:w="3329" w:type="dxa"/>
          </w:tcPr>
          <w:p w14:paraId="6DEA9FBE" w14:textId="6231830B" w:rsidR="00166358" w:rsidRDefault="00166358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CE27BD">
              <w:rPr>
                <w:lang w:val="et-EE"/>
              </w:rPr>
              <w:t>2</w:t>
            </w:r>
            <w:r>
              <w:rPr>
                <w:lang w:val="et-EE"/>
              </w:rPr>
              <w:t>%</w:t>
            </w:r>
          </w:p>
        </w:tc>
        <w:tc>
          <w:tcPr>
            <w:tcW w:w="3144" w:type="dxa"/>
          </w:tcPr>
          <w:p w14:paraId="5CFF1CC1" w14:textId="39309BEA" w:rsidR="00166358" w:rsidRDefault="00166358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Esitajad</w:t>
            </w:r>
          </w:p>
        </w:tc>
        <w:tc>
          <w:tcPr>
            <w:tcW w:w="2877" w:type="dxa"/>
          </w:tcPr>
          <w:p w14:paraId="7B808178" w14:textId="03D2852F" w:rsidR="00166358" w:rsidRDefault="00166358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ENL </w:t>
            </w:r>
          </w:p>
        </w:tc>
      </w:tr>
      <w:tr w:rsidR="00166358" w14:paraId="71DCFCFE" w14:textId="0BF3D85A" w:rsidTr="00166358">
        <w:tc>
          <w:tcPr>
            <w:tcW w:w="3329" w:type="dxa"/>
          </w:tcPr>
          <w:p w14:paraId="6363BD82" w14:textId="15C6253B" w:rsidR="00166358" w:rsidRDefault="00166358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CE27BD">
              <w:rPr>
                <w:lang w:val="et-EE"/>
              </w:rPr>
              <w:t>2</w:t>
            </w:r>
            <w:r>
              <w:rPr>
                <w:lang w:val="et-EE"/>
              </w:rPr>
              <w:t>%</w:t>
            </w:r>
          </w:p>
        </w:tc>
        <w:tc>
          <w:tcPr>
            <w:tcW w:w="3144" w:type="dxa"/>
          </w:tcPr>
          <w:p w14:paraId="046A020A" w14:textId="5838B980" w:rsidR="00166358" w:rsidRDefault="003A2921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Filmit</w:t>
            </w:r>
            <w:r w:rsidR="00166358">
              <w:rPr>
                <w:lang w:val="et-EE"/>
              </w:rPr>
              <w:t>ootjad</w:t>
            </w:r>
          </w:p>
        </w:tc>
        <w:tc>
          <w:tcPr>
            <w:tcW w:w="2877" w:type="dxa"/>
          </w:tcPr>
          <w:p w14:paraId="24BF9CA2" w14:textId="2CD73DBA" w:rsidR="00166358" w:rsidRDefault="00166358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FETÜ </w:t>
            </w:r>
          </w:p>
        </w:tc>
      </w:tr>
      <w:tr w:rsidR="00C62577" w14:paraId="153ED7C5" w14:textId="77777777" w:rsidTr="00166358">
        <w:tc>
          <w:tcPr>
            <w:tcW w:w="3329" w:type="dxa"/>
          </w:tcPr>
          <w:p w14:paraId="22EB7185" w14:textId="225EAF12" w:rsidR="00C62577" w:rsidRDefault="00CE27BD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="00C62577">
              <w:rPr>
                <w:lang w:val="et-EE"/>
              </w:rPr>
              <w:t xml:space="preserve">% </w:t>
            </w:r>
          </w:p>
        </w:tc>
        <w:tc>
          <w:tcPr>
            <w:tcW w:w="3144" w:type="dxa"/>
          </w:tcPr>
          <w:p w14:paraId="3D6EBAC8" w14:textId="6C933DE4" w:rsidR="00C62577" w:rsidRDefault="00370FB9" w:rsidP="0016635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Muusikateoste salvestused, mida on kasutatud </w:t>
            </w:r>
            <w:r w:rsidRPr="00370FB9">
              <w:rPr>
                <w:lang w:val="et-EE"/>
              </w:rPr>
              <w:t>audiovisuaal</w:t>
            </w:r>
            <w:r>
              <w:rPr>
                <w:lang w:val="et-EE"/>
              </w:rPr>
              <w:t>teostes. (h</w:t>
            </w:r>
            <w:r w:rsidR="00C62577">
              <w:rPr>
                <w:lang w:val="et-EE"/>
              </w:rPr>
              <w:t>elilooja, esitaja ja fonogrammitootja</w:t>
            </w:r>
            <w:r>
              <w:rPr>
                <w:lang w:val="et-EE"/>
              </w:rPr>
              <w:t>)</w:t>
            </w:r>
          </w:p>
        </w:tc>
        <w:tc>
          <w:tcPr>
            <w:tcW w:w="2877" w:type="dxa"/>
          </w:tcPr>
          <w:p w14:paraId="1D81F4FC" w14:textId="713794CD" w:rsidR="00370FB9" w:rsidRDefault="00370FB9" w:rsidP="00370FB9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EAÜ, EEL, EFÜ </w:t>
            </w:r>
          </w:p>
          <w:p w14:paraId="5C005EB9" w14:textId="77777777" w:rsidR="00C62577" w:rsidRDefault="00C62577" w:rsidP="00166358">
            <w:pPr>
              <w:jc w:val="center"/>
              <w:rPr>
                <w:lang w:val="et-EE"/>
              </w:rPr>
            </w:pPr>
          </w:p>
        </w:tc>
      </w:tr>
    </w:tbl>
    <w:p w14:paraId="084B0027" w14:textId="77777777" w:rsidR="00166358" w:rsidRDefault="00166358" w:rsidP="00166358">
      <w:pPr>
        <w:rPr>
          <w:lang w:val="et-EE"/>
        </w:rPr>
      </w:pPr>
    </w:p>
    <w:p w14:paraId="18B9C319" w14:textId="5D4351AF" w:rsidR="00C35917" w:rsidRDefault="000F6263" w:rsidP="00166358">
      <w:pPr>
        <w:rPr>
          <w:lang w:val="et-EE"/>
        </w:rPr>
      </w:pPr>
      <w:r>
        <w:rPr>
          <w:lang w:val="et-EE"/>
        </w:rPr>
        <w:t>Täiendavalt võib kasutada tasandusfondi olukorras, kus KEO ei esinda välisriigi õiguste omajaid. Sellisel juhul suureneks sama kategooria KEO osakaal, nt kui FETÜ ja ENL ei esinda välisriigi õiguste omaj</w:t>
      </w:r>
      <w:r w:rsidR="00302353">
        <w:rPr>
          <w:lang w:val="et-EE"/>
        </w:rPr>
        <w:t>a</w:t>
      </w:r>
      <w:r>
        <w:rPr>
          <w:lang w:val="et-EE"/>
        </w:rPr>
        <w:t>id, siis EEAL saaks juurde 10%.</w:t>
      </w:r>
    </w:p>
    <w:p w14:paraId="6A2E2F00" w14:textId="4260ADFC" w:rsidR="005C5DAD" w:rsidRDefault="005C5DAD" w:rsidP="00166358">
      <w:pPr>
        <w:rPr>
          <w:lang w:val="et-EE"/>
        </w:rPr>
      </w:pPr>
      <w:r>
        <w:rPr>
          <w:lang w:val="et-EE"/>
        </w:rPr>
        <w:t xml:space="preserve">Lisaks teeb FETÜ ettepaneku täiendada VTK-d osas, millega reguleeritakse audiovisuaalteose varaliste õiguste üleminekut ja </w:t>
      </w:r>
      <w:r w:rsidR="00116B24">
        <w:rPr>
          <w:lang w:val="et-EE"/>
        </w:rPr>
        <w:t>kehtestatakse</w:t>
      </w:r>
      <w:r w:rsidR="00BC2746">
        <w:rPr>
          <w:lang w:val="et-EE"/>
        </w:rPr>
        <w:t xml:space="preserve"> </w:t>
      </w:r>
      <w:r>
        <w:rPr>
          <w:lang w:val="et-EE"/>
        </w:rPr>
        <w:t xml:space="preserve">loovprodutsendi </w:t>
      </w:r>
      <w:r w:rsidR="00BC2746">
        <w:rPr>
          <w:lang w:val="et-EE"/>
        </w:rPr>
        <w:t>kui autori kategooria.</w:t>
      </w:r>
    </w:p>
    <w:p w14:paraId="7D822A2C" w14:textId="17B92F80" w:rsidR="003B5405" w:rsidRDefault="006F38AC" w:rsidP="009010CB">
      <w:pPr>
        <w:pStyle w:val="Provision1"/>
        <w:rPr>
          <w:b/>
          <w:bCs/>
          <w:lang w:val="et-EE"/>
        </w:rPr>
      </w:pPr>
      <w:r>
        <w:rPr>
          <w:b/>
          <w:bCs/>
          <w:lang w:val="et-EE"/>
        </w:rPr>
        <w:t>Blokeerimismeede</w:t>
      </w:r>
    </w:p>
    <w:p w14:paraId="1C065852" w14:textId="480C0F76" w:rsidR="006F38AC" w:rsidRDefault="006F38AC" w:rsidP="006F38AC">
      <w:pPr>
        <w:pStyle w:val="Provision2"/>
        <w:rPr>
          <w:lang w:val="et-EE"/>
        </w:rPr>
      </w:pPr>
      <w:r>
        <w:rPr>
          <w:lang w:val="et-EE"/>
        </w:rPr>
        <w:t>FET</w:t>
      </w:r>
      <w:r>
        <w:rPr>
          <w:lang w:val="en-GB"/>
        </w:rPr>
        <w:t xml:space="preserve">Ü toetab blokeerimismeetme kehtestamist Eesti õiguses. </w:t>
      </w:r>
      <w:r w:rsidR="003F3A85">
        <w:rPr>
          <w:lang w:val="en-GB"/>
        </w:rPr>
        <w:t>Sarnane blokeerimissüsteem on kasutuses kaughas</w:t>
      </w:r>
      <w:r w:rsidR="00D10B0A">
        <w:rPr>
          <w:lang w:val="en-GB"/>
        </w:rPr>
        <w:t>a</w:t>
      </w:r>
      <w:r w:rsidR="003F3A85">
        <w:rPr>
          <w:lang w:val="en-GB"/>
        </w:rPr>
        <w:t>rtmängu</w:t>
      </w:r>
      <w:r w:rsidR="00D10B0A">
        <w:rPr>
          <w:lang w:val="en-GB"/>
        </w:rPr>
        <w:t xml:space="preserve"> </w:t>
      </w:r>
      <w:r w:rsidR="003F3A85">
        <w:rPr>
          <w:lang w:val="en-GB"/>
        </w:rPr>
        <w:t xml:space="preserve">teenuseosutajate suhtes. Seega on </w:t>
      </w:r>
      <w:r w:rsidR="00D10B0A">
        <w:rPr>
          <w:lang w:val="en-GB"/>
        </w:rPr>
        <w:t xml:space="preserve">Eesti </w:t>
      </w:r>
      <w:r w:rsidR="00310E63">
        <w:rPr>
          <w:lang w:val="en-GB"/>
        </w:rPr>
        <w:t>ametiasutustel</w:t>
      </w:r>
      <w:r w:rsidR="00D10B0A">
        <w:rPr>
          <w:lang w:val="en-GB"/>
        </w:rPr>
        <w:t xml:space="preserve"> </w:t>
      </w:r>
      <w:r w:rsidR="003F3A85">
        <w:rPr>
          <w:lang w:val="en-GB"/>
        </w:rPr>
        <w:t>olemas tehniline võimekus</w:t>
      </w:r>
      <w:r w:rsidR="00310E63">
        <w:rPr>
          <w:lang w:val="en-GB"/>
        </w:rPr>
        <w:t xml:space="preserve"> </w:t>
      </w:r>
      <w:r w:rsidR="00310E63" w:rsidRPr="00310E63">
        <w:rPr>
          <w:lang w:val="en-GB"/>
        </w:rPr>
        <w:t>blokeerimismeetme</w:t>
      </w:r>
      <w:r w:rsidR="00310E63">
        <w:rPr>
          <w:lang w:val="en-GB"/>
        </w:rPr>
        <w:t xml:space="preserve"> rakendamiseks</w:t>
      </w:r>
      <w:r w:rsidR="00D10B0A">
        <w:rPr>
          <w:lang w:val="en-GB"/>
        </w:rPr>
        <w:t>.</w:t>
      </w:r>
    </w:p>
    <w:p w14:paraId="55A7856C" w14:textId="5AF4D452" w:rsidR="009010CB" w:rsidRPr="006220EA" w:rsidRDefault="008D04EB" w:rsidP="009010CB">
      <w:pPr>
        <w:pStyle w:val="Provision1"/>
        <w:rPr>
          <w:b/>
          <w:bCs/>
          <w:lang w:val="et-EE"/>
        </w:rPr>
      </w:pPr>
      <w:r w:rsidRPr="006220EA">
        <w:rPr>
          <w:b/>
          <w:bCs/>
          <w:lang w:val="et-EE"/>
        </w:rPr>
        <w:t xml:space="preserve">Audiovisuaalse teose varaliste </w:t>
      </w:r>
      <w:r w:rsidR="006220EA" w:rsidRPr="006220EA">
        <w:rPr>
          <w:b/>
          <w:bCs/>
          <w:lang w:val="et-EE"/>
        </w:rPr>
        <w:t xml:space="preserve">õiguste üleminek </w:t>
      </w:r>
      <w:r w:rsidR="009B6F9F">
        <w:rPr>
          <w:b/>
          <w:bCs/>
          <w:lang w:val="et-EE"/>
        </w:rPr>
        <w:t>produtsendile</w:t>
      </w:r>
    </w:p>
    <w:p w14:paraId="30A5FC7E" w14:textId="6FD69C7A" w:rsidR="006220EA" w:rsidRDefault="006220EA" w:rsidP="006220EA">
      <w:pPr>
        <w:pStyle w:val="Provision2"/>
        <w:rPr>
          <w:lang w:val="et-EE"/>
        </w:rPr>
      </w:pPr>
      <w:r>
        <w:rPr>
          <w:lang w:val="et-EE"/>
        </w:rPr>
        <w:t>AutÕS § 33 lg 2 lause 1 sätestab, et autoriõigus audiovisuaalsele teosele kuulub selle autorile või ühistele autoritele – režissöörile, dialoogi autorile, muusikateose autorile (kui teos on loodud spetsiaalselt selle audiovisuaalse teose jaoks), operaatorile ja kunstnikule.</w:t>
      </w:r>
    </w:p>
    <w:p w14:paraId="020CABDA" w14:textId="285266A3" w:rsidR="006220EA" w:rsidRDefault="006220EA" w:rsidP="006220EA">
      <w:pPr>
        <w:pStyle w:val="Provision2"/>
        <w:rPr>
          <w:lang w:val="et-EE"/>
        </w:rPr>
      </w:pPr>
      <w:r>
        <w:rPr>
          <w:lang w:val="et-EE"/>
        </w:rPr>
        <w:t xml:space="preserve">AutÕS § 33 lg 2 lause 2 sätestab, et </w:t>
      </w:r>
      <w:r w:rsidR="00F15483">
        <w:rPr>
          <w:lang w:val="et-EE"/>
        </w:rPr>
        <w:t>režissööri, stsenaariumi autori, dialoogi autori, operaatori ja kunstniku varalised õigused lähevad üle teose produtsendile, kui lepinguga ei ole kindlaks määratud teisiti.</w:t>
      </w:r>
    </w:p>
    <w:p w14:paraId="7C287869" w14:textId="73FC754E" w:rsidR="0034420D" w:rsidRDefault="00880F4F" w:rsidP="006220EA">
      <w:pPr>
        <w:pStyle w:val="Provision2"/>
        <w:rPr>
          <w:lang w:val="et-EE"/>
        </w:rPr>
      </w:pPr>
      <w:r>
        <w:rPr>
          <w:lang w:val="et-EE"/>
        </w:rPr>
        <w:t xml:space="preserve">AutÕS § 33 lg 2 </w:t>
      </w:r>
      <w:r w:rsidR="0034420D">
        <w:rPr>
          <w:lang w:val="et-EE"/>
        </w:rPr>
        <w:t xml:space="preserve">sõnastus pärineb </w:t>
      </w:r>
      <w:r w:rsidR="00C6690F">
        <w:rPr>
          <w:lang w:val="et-EE"/>
        </w:rPr>
        <w:t>06.01.2000</w:t>
      </w:r>
      <w:r w:rsidR="0034420D">
        <w:rPr>
          <w:lang w:val="et-EE"/>
        </w:rPr>
        <w:t>. a jõustunud seadusemuudatusest</w:t>
      </w:r>
      <w:r w:rsidR="00C6690F">
        <w:rPr>
          <w:rStyle w:val="FootnoteReference"/>
          <w:lang w:val="et-EE"/>
        </w:rPr>
        <w:footnoteReference w:id="6"/>
      </w:r>
      <w:r w:rsidR="00C6690F">
        <w:rPr>
          <w:lang w:val="et-EE"/>
        </w:rPr>
        <w:t xml:space="preserve">. </w:t>
      </w:r>
      <w:r w:rsidR="009535D0">
        <w:rPr>
          <w:lang w:val="et-EE"/>
        </w:rPr>
        <w:t xml:space="preserve">Seletuskirjas on AutÕS § 33 lg 2 muutmise kohta öeldud, et </w:t>
      </w:r>
      <w:r w:rsidR="006A5260">
        <w:rPr>
          <w:lang w:val="et-EE"/>
        </w:rPr>
        <w:t>muudatus</w:t>
      </w:r>
      <w:r w:rsidR="009535D0">
        <w:rPr>
          <w:lang w:val="et-EE"/>
        </w:rPr>
        <w:t xml:space="preserve"> ühtlustab direktiivi 93/98</w:t>
      </w:r>
      <w:r w:rsidR="009535D0">
        <w:rPr>
          <w:rStyle w:val="FootnoteReference"/>
          <w:lang w:val="et-EE"/>
        </w:rPr>
        <w:footnoteReference w:id="7"/>
      </w:r>
      <w:r w:rsidR="009535D0">
        <w:rPr>
          <w:lang w:val="et-EE"/>
        </w:rPr>
        <w:t xml:space="preserve">. </w:t>
      </w:r>
    </w:p>
    <w:p w14:paraId="013706B0" w14:textId="3C8F2932" w:rsidR="000F569C" w:rsidRPr="0034420D" w:rsidRDefault="00F93369" w:rsidP="001F4B2B">
      <w:pPr>
        <w:pStyle w:val="Provision2"/>
        <w:rPr>
          <w:lang w:val="et-EE"/>
        </w:rPr>
      </w:pPr>
      <w:r w:rsidRPr="0034420D">
        <w:rPr>
          <w:lang w:val="et-EE"/>
        </w:rPr>
        <w:t>Direktiiv</w:t>
      </w:r>
      <w:r w:rsidR="0034420D" w:rsidRPr="0034420D">
        <w:rPr>
          <w:lang w:val="et-EE"/>
        </w:rPr>
        <w:t>i</w:t>
      </w:r>
      <w:r w:rsidRPr="0034420D">
        <w:rPr>
          <w:lang w:val="et-EE"/>
        </w:rPr>
        <w:t xml:space="preserve"> 93/98/EÜ asendab </w:t>
      </w:r>
      <w:r w:rsidR="0034420D" w:rsidRPr="0034420D">
        <w:rPr>
          <w:lang w:val="et-EE"/>
        </w:rPr>
        <w:t xml:space="preserve">praegu </w:t>
      </w:r>
      <w:r w:rsidR="002F3CF3" w:rsidRPr="0034420D">
        <w:rPr>
          <w:lang w:val="et-EE"/>
        </w:rPr>
        <w:t xml:space="preserve">tähtaja </w:t>
      </w:r>
      <w:r w:rsidRPr="0034420D">
        <w:rPr>
          <w:lang w:val="et-EE"/>
        </w:rPr>
        <w:t>direktiiv</w:t>
      </w:r>
      <w:r w:rsidR="002F3CF3">
        <w:rPr>
          <w:rStyle w:val="FootnoteReference"/>
          <w:lang w:val="et-EE"/>
        </w:rPr>
        <w:footnoteReference w:id="8"/>
      </w:r>
      <w:r w:rsidR="002F3CF3" w:rsidRPr="0034420D">
        <w:rPr>
          <w:lang w:val="et-EE"/>
        </w:rPr>
        <w:t>, mille artikkel 2 lg 1 sätestab, et audiovisuaalse teose peamist režissööri loetakse selle teose autoriks ja liikmesriikidel on vabadus määrata teisi kaasautoreid.</w:t>
      </w:r>
      <w:r w:rsidR="0034420D" w:rsidRPr="0034420D">
        <w:rPr>
          <w:lang w:val="et-EE"/>
        </w:rPr>
        <w:t xml:space="preserve"> </w:t>
      </w:r>
      <w:r w:rsidR="002F3CF3" w:rsidRPr="0034420D">
        <w:rPr>
          <w:lang w:val="et-EE"/>
        </w:rPr>
        <w:t xml:space="preserve">Seejuures ei kohusta tähtaja direktiiv liikmesriike </w:t>
      </w:r>
      <w:r w:rsidR="000F569C" w:rsidRPr="0034420D">
        <w:rPr>
          <w:lang w:val="et-EE"/>
        </w:rPr>
        <w:t xml:space="preserve">kehtestama audiovisuaalse teose varaliste õiguste </w:t>
      </w:r>
      <w:r w:rsidR="0016765B">
        <w:rPr>
          <w:lang w:val="et-EE"/>
        </w:rPr>
        <w:t xml:space="preserve">eelduslikku </w:t>
      </w:r>
      <w:r w:rsidR="000F569C" w:rsidRPr="0034420D">
        <w:rPr>
          <w:lang w:val="et-EE"/>
        </w:rPr>
        <w:t xml:space="preserve">üleminekut produtsendile. </w:t>
      </w:r>
    </w:p>
    <w:p w14:paraId="37084250" w14:textId="505F0812" w:rsidR="000F569C" w:rsidRPr="00AF6CC7" w:rsidRDefault="000F569C" w:rsidP="000F569C">
      <w:pPr>
        <w:pStyle w:val="Provision2"/>
        <w:rPr>
          <w:lang w:val="et-EE"/>
        </w:rPr>
      </w:pPr>
      <w:r>
        <w:rPr>
          <w:lang w:val="et-EE"/>
        </w:rPr>
        <w:t xml:space="preserve">FETÜ teeb ettepaneku </w:t>
      </w:r>
      <w:r w:rsidR="00DC5DC8">
        <w:rPr>
          <w:lang w:val="et-EE"/>
        </w:rPr>
        <w:t xml:space="preserve">kaotada </w:t>
      </w:r>
      <w:r>
        <w:rPr>
          <w:lang w:val="et-EE"/>
        </w:rPr>
        <w:t xml:space="preserve">AutÕS-ist audiovisuaalse teose produtsendile varaliste õiguste </w:t>
      </w:r>
      <w:r w:rsidR="0016765B">
        <w:rPr>
          <w:lang w:val="et-EE"/>
        </w:rPr>
        <w:t>eelduslik</w:t>
      </w:r>
      <w:r>
        <w:rPr>
          <w:lang w:val="et-EE"/>
        </w:rPr>
        <w:t xml:space="preserve"> üleminek. Selleks tuleb muuta AutÕS § 33 lg 2 lauset 2 selliselt, et r</w:t>
      </w:r>
      <w:r w:rsidRPr="003F7BDE">
        <w:rPr>
          <w:lang w:val="et-EE"/>
        </w:rPr>
        <w:t>ežissöör, stsenaariumi autor, dialoogi autor, operaator</w:t>
      </w:r>
      <w:r>
        <w:rPr>
          <w:lang w:val="et-EE"/>
        </w:rPr>
        <w:t>,</w:t>
      </w:r>
      <w:r w:rsidRPr="003F7BDE">
        <w:rPr>
          <w:lang w:val="et-EE"/>
        </w:rPr>
        <w:t xml:space="preserve"> kunstnik </w:t>
      </w:r>
      <w:r>
        <w:rPr>
          <w:lang w:val="et-EE"/>
        </w:rPr>
        <w:t xml:space="preserve">ja </w:t>
      </w:r>
      <w:r w:rsidRPr="003F7BDE">
        <w:rPr>
          <w:lang w:val="et-EE"/>
        </w:rPr>
        <w:t>produtsen</w:t>
      </w:r>
      <w:r>
        <w:rPr>
          <w:lang w:val="et-EE"/>
        </w:rPr>
        <w:t>t lepivad kokku ühiste õiguste teostamises.</w:t>
      </w:r>
      <w:r w:rsidR="0059673E">
        <w:rPr>
          <w:lang w:val="et-EE"/>
        </w:rPr>
        <w:t xml:space="preserve"> Eesti filmitööstuses sõlmitakse kõigi autoritega lepingud ning puudub vajadus seadusjärgse </w:t>
      </w:r>
      <w:r w:rsidR="003D5526">
        <w:rPr>
          <w:lang w:val="et-EE"/>
        </w:rPr>
        <w:t xml:space="preserve">õiguste </w:t>
      </w:r>
      <w:r w:rsidR="0059673E">
        <w:rPr>
          <w:lang w:val="et-EE"/>
        </w:rPr>
        <w:t>ülemi</w:t>
      </w:r>
      <w:r w:rsidR="00C947EB">
        <w:rPr>
          <w:lang w:val="et-EE"/>
        </w:rPr>
        <w:t>ne</w:t>
      </w:r>
      <w:r w:rsidR="0059673E">
        <w:rPr>
          <w:lang w:val="et-EE"/>
        </w:rPr>
        <w:t>ku osas</w:t>
      </w:r>
      <w:r w:rsidR="00C947EB">
        <w:rPr>
          <w:lang w:val="et-EE"/>
        </w:rPr>
        <w:t xml:space="preserve">. Lepingute sõlmimine on vajalik ka toetuste taotlemisel, samuti </w:t>
      </w:r>
      <w:r w:rsidR="00D50345">
        <w:rPr>
          <w:lang w:val="et-EE"/>
        </w:rPr>
        <w:t>raamatupidamise korraldamiseks (</w:t>
      </w:r>
      <w:r w:rsidR="00C947EB">
        <w:rPr>
          <w:lang w:val="et-EE"/>
        </w:rPr>
        <w:t>väljamaksete tegemi</w:t>
      </w:r>
      <w:r w:rsidR="00D50345">
        <w:rPr>
          <w:lang w:val="et-EE"/>
        </w:rPr>
        <w:t>ne</w:t>
      </w:r>
      <w:r w:rsidR="00C947EB">
        <w:rPr>
          <w:lang w:val="et-EE"/>
        </w:rPr>
        <w:t xml:space="preserve"> auto</w:t>
      </w:r>
      <w:r w:rsidR="00D50345">
        <w:rPr>
          <w:lang w:val="et-EE"/>
        </w:rPr>
        <w:t>r</w:t>
      </w:r>
      <w:r w:rsidR="00C947EB">
        <w:rPr>
          <w:lang w:val="et-EE"/>
        </w:rPr>
        <w:t>itele</w:t>
      </w:r>
      <w:r w:rsidR="00D50345">
        <w:rPr>
          <w:lang w:val="et-EE"/>
        </w:rPr>
        <w:t xml:space="preserve"> toimub ainult lepingute alusel).</w:t>
      </w:r>
      <w:r w:rsidR="00C947EB">
        <w:rPr>
          <w:lang w:val="et-EE"/>
        </w:rPr>
        <w:t xml:space="preserve">  </w:t>
      </w:r>
    </w:p>
    <w:p w14:paraId="796A61CE" w14:textId="7A16D9E7" w:rsidR="000F569C" w:rsidRDefault="000F569C" w:rsidP="000F569C">
      <w:pPr>
        <w:pStyle w:val="Provision2"/>
        <w:rPr>
          <w:lang w:val="et-EE"/>
        </w:rPr>
      </w:pPr>
      <w:r>
        <w:rPr>
          <w:lang w:val="et-EE"/>
        </w:rPr>
        <w:t>Ühtlasi tule</w:t>
      </w:r>
      <w:r w:rsidR="003E7544">
        <w:rPr>
          <w:lang w:val="et-EE"/>
        </w:rPr>
        <w:t>ks</w:t>
      </w:r>
      <w:r>
        <w:rPr>
          <w:lang w:val="et-EE"/>
        </w:rPr>
        <w:t xml:space="preserve"> muuta </w:t>
      </w:r>
      <w:r w:rsidRPr="00831E2F">
        <w:rPr>
          <w:lang w:val="et-EE"/>
        </w:rPr>
        <w:t xml:space="preserve">AutÕS </w:t>
      </w:r>
      <w:r w:rsidR="00022A33" w:rsidRPr="00831E2F">
        <w:rPr>
          <w:lang w:val="et-EE"/>
        </w:rPr>
        <w:t>§</w:t>
      </w:r>
      <w:r w:rsidR="00022A33">
        <w:rPr>
          <w:lang w:val="et-EE"/>
        </w:rPr>
        <w:t xml:space="preserve"> </w:t>
      </w:r>
      <w:r w:rsidRPr="00F81CAF">
        <w:rPr>
          <w:lang w:val="et-EE"/>
        </w:rPr>
        <w:t>14 l</w:t>
      </w:r>
      <w:r>
        <w:rPr>
          <w:lang w:val="et-EE"/>
        </w:rPr>
        <w:t>õike</w:t>
      </w:r>
      <w:r w:rsidRPr="00F81CAF">
        <w:rPr>
          <w:lang w:val="et-EE"/>
        </w:rPr>
        <w:t xml:space="preserve"> 6</w:t>
      </w:r>
      <w:r>
        <w:rPr>
          <w:lang w:val="et-EE"/>
        </w:rPr>
        <w:t xml:space="preserve"> lauset 1 ja kustutada lauseosa „muult isikult“. Kui audiovisuaalse teose produtsendile ei lähe üle </w:t>
      </w:r>
      <w:r w:rsidR="00166358">
        <w:rPr>
          <w:lang w:val="et-EE"/>
        </w:rPr>
        <w:t>audiovisuaalse teose</w:t>
      </w:r>
      <w:r>
        <w:rPr>
          <w:lang w:val="et-EE"/>
        </w:rPr>
        <w:t xml:space="preserve"> autorite varalisi õigusi, siis ei ole vajadust </w:t>
      </w:r>
      <w:r w:rsidR="003E7544">
        <w:rPr>
          <w:lang w:val="et-EE"/>
        </w:rPr>
        <w:t>anda</w:t>
      </w:r>
      <w:r w:rsidR="00166358">
        <w:rPr>
          <w:lang w:val="et-EE"/>
        </w:rPr>
        <w:t xml:space="preserve"> audiovisuaalse teose autoritele tasu </w:t>
      </w:r>
      <w:r w:rsidR="003E7544">
        <w:rPr>
          <w:lang w:val="et-EE"/>
        </w:rPr>
        <w:t>saamise</w:t>
      </w:r>
      <w:r w:rsidR="00166358">
        <w:rPr>
          <w:lang w:val="et-EE"/>
        </w:rPr>
        <w:t xml:space="preserve"> õigus</w:t>
      </w:r>
      <w:r w:rsidR="003E7544">
        <w:rPr>
          <w:lang w:val="et-EE"/>
        </w:rPr>
        <w:t xml:space="preserve"> sõltumata lepingu tingimustest</w:t>
      </w:r>
      <w:r w:rsidR="00166358">
        <w:rPr>
          <w:lang w:val="et-EE"/>
        </w:rPr>
        <w:t>.</w:t>
      </w:r>
      <w:r w:rsidR="009E5E95">
        <w:rPr>
          <w:lang w:val="et-EE"/>
        </w:rPr>
        <w:t xml:space="preserve"> Teatavasti </w:t>
      </w:r>
      <w:r w:rsidR="009E5E95" w:rsidRPr="009E5E95">
        <w:rPr>
          <w:lang w:val="et-EE"/>
        </w:rPr>
        <w:t xml:space="preserve">AutÕS </w:t>
      </w:r>
      <w:r w:rsidR="00022A33" w:rsidRPr="00831E2F">
        <w:rPr>
          <w:lang w:val="et-EE"/>
        </w:rPr>
        <w:t>§</w:t>
      </w:r>
      <w:r w:rsidR="00022A33">
        <w:rPr>
          <w:lang w:val="et-EE"/>
        </w:rPr>
        <w:t xml:space="preserve"> </w:t>
      </w:r>
      <w:r w:rsidR="009E5E95" w:rsidRPr="009E5E95">
        <w:rPr>
          <w:lang w:val="et-EE"/>
        </w:rPr>
        <w:t>14 lõike 6 lause</w:t>
      </w:r>
      <w:r w:rsidR="00166358">
        <w:rPr>
          <w:lang w:val="et-EE"/>
        </w:rPr>
        <w:t xml:space="preserve"> </w:t>
      </w:r>
      <w:r w:rsidR="009E5E95">
        <w:rPr>
          <w:lang w:val="et-EE"/>
        </w:rPr>
        <w:t>„</w:t>
      </w:r>
      <w:r w:rsidR="00E81A43" w:rsidRPr="00E81A43">
        <w:rPr>
          <w:lang w:val="et-EE"/>
        </w:rPr>
        <w:t>või muult isikult</w:t>
      </w:r>
      <w:r w:rsidR="00022A33">
        <w:rPr>
          <w:lang w:val="et-EE"/>
        </w:rPr>
        <w:t>“</w:t>
      </w:r>
      <w:r w:rsidR="00E81A43">
        <w:rPr>
          <w:lang w:val="et-EE"/>
        </w:rPr>
        <w:t xml:space="preserve"> lisati seadusele seetõttu, et tasakaalustada 33 lg 2 </w:t>
      </w:r>
      <w:r w:rsidR="00113669">
        <w:rPr>
          <w:lang w:val="et-EE"/>
        </w:rPr>
        <w:t>seadusjärgset üleminekut</w:t>
      </w:r>
      <w:r w:rsidR="00E81A43">
        <w:rPr>
          <w:lang w:val="et-EE"/>
        </w:rPr>
        <w:t>.</w:t>
      </w:r>
      <w:r w:rsidR="009E5E95">
        <w:rPr>
          <w:lang w:val="et-EE"/>
        </w:rPr>
        <w:t xml:space="preserve"> </w:t>
      </w:r>
      <w:r w:rsidR="00E81A43">
        <w:rPr>
          <w:lang w:val="et-EE"/>
        </w:rPr>
        <w:t xml:space="preserve">Muus </w:t>
      </w:r>
      <w:r w:rsidR="00166358">
        <w:rPr>
          <w:lang w:val="et-EE"/>
        </w:rPr>
        <w:t xml:space="preserve">osas jääb säte </w:t>
      </w:r>
      <w:r w:rsidR="00DC5DC8">
        <w:rPr>
          <w:lang w:val="et-EE"/>
        </w:rPr>
        <w:t>samaks</w:t>
      </w:r>
      <w:r w:rsidR="00166358">
        <w:rPr>
          <w:lang w:val="et-EE"/>
        </w:rPr>
        <w:t>, se</w:t>
      </w:r>
      <w:r w:rsidR="00187ECA">
        <w:rPr>
          <w:lang w:val="et-EE"/>
        </w:rPr>
        <w:t>st</w:t>
      </w:r>
      <w:r w:rsidR="00166358">
        <w:rPr>
          <w:lang w:val="et-EE"/>
        </w:rPr>
        <w:t xml:space="preserve"> tuleneb rendi- ja laenutamisdirektiivi artikli</w:t>
      </w:r>
      <w:r w:rsidR="00187ECA">
        <w:rPr>
          <w:lang w:val="et-EE"/>
        </w:rPr>
        <w:t>l</w:t>
      </w:r>
      <w:r w:rsidR="00166358">
        <w:rPr>
          <w:lang w:val="et-EE"/>
        </w:rPr>
        <w:t xml:space="preserve"> 5 lõikest 2</w:t>
      </w:r>
      <w:r w:rsidR="00166358">
        <w:rPr>
          <w:rStyle w:val="FootnoteReference"/>
          <w:lang w:val="et-EE"/>
        </w:rPr>
        <w:footnoteReference w:id="9"/>
      </w:r>
      <w:r w:rsidR="00166358">
        <w:rPr>
          <w:lang w:val="et-EE"/>
        </w:rPr>
        <w:t>.</w:t>
      </w:r>
    </w:p>
    <w:p w14:paraId="1F2F7787" w14:textId="1D07582B" w:rsidR="00BD5696" w:rsidRPr="00BD5696" w:rsidRDefault="00BD5696" w:rsidP="00BD5696">
      <w:pPr>
        <w:pStyle w:val="Provision1"/>
        <w:rPr>
          <w:b/>
          <w:bCs/>
          <w:lang w:val="et-EE"/>
        </w:rPr>
      </w:pPr>
      <w:r w:rsidRPr="00BD5696">
        <w:rPr>
          <w:b/>
          <w:bCs/>
          <w:lang w:val="et-EE"/>
        </w:rPr>
        <w:t>Loovprodutsent</w:t>
      </w:r>
    </w:p>
    <w:p w14:paraId="62638149" w14:textId="10B264CC" w:rsidR="00AA78A8" w:rsidRPr="00AA78A8" w:rsidRDefault="00AA78A8" w:rsidP="00AA78A8">
      <w:pPr>
        <w:pStyle w:val="Provision2"/>
        <w:rPr>
          <w:lang w:val="et-EE"/>
        </w:rPr>
      </w:pPr>
      <w:r>
        <w:rPr>
          <w:lang w:val="et-EE"/>
        </w:rPr>
        <w:t xml:space="preserve">Euroopa ja Eesti audiovisuaalsektori suundumus on, et lisaks tegelemisele organisatoorse korralduse ja rahastusega, annab teose tootmise juures töötav füüsilisest isikust produtsent (nn </w:t>
      </w:r>
      <w:r w:rsidRPr="00C16327">
        <w:rPr>
          <w:lang w:val="et-EE"/>
        </w:rPr>
        <w:t>loovprodutsent)</w:t>
      </w:r>
      <w:r>
        <w:rPr>
          <w:lang w:val="et-EE"/>
        </w:rPr>
        <w:t xml:space="preserve"> olulise loomingulise panuse teose valmimisse. Loovprodutsent on ainuke filmimeeskonna liige, kes töötab filmi loomisprotsessis idee sünnist kuni määramata ajani. </w:t>
      </w:r>
      <w:r w:rsidRPr="00BB237E">
        <w:rPr>
          <w:lang w:val="et-EE"/>
        </w:rPr>
        <w:t>Levinud praktika on, et loovprodutsent muuhulgas otsib lugusid, koos stsenaristiga arendab stsenaariumit</w:t>
      </w:r>
      <w:r>
        <w:rPr>
          <w:lang w:val="et-EE"/>
        </w:rPr>
        <w:t xml:space="preserve">, </w:t>
      </w:r>
      <w:r w:rsidRPr="00BB237E">
        <w:rPr>
          <w:lang w:val="et-EE"/>
        </w:rPr>
        <w:t xml:space="preserve">valib nii </w:t>
      </w:r>
      <w:r>
        <w:rPr>
          <w:lang w:val="et-EE"/>
        </w:rPr>
        <w:t xml:space="preserve">loomingulise kui ka </w:t>
      </w:r>
      <w:r w:rsidRPr="00BB237E">
        <w:rPr>
          <w:lang w:val="et-EE"/>
        </w:rPr>
        <w:t xml:space="preserve">tehnilise meeskonna </w:t>
      </w:r>
      <w:r>
        <w:rPr>
          <w:lang w:val="et-EE"/>
        </w:rPr>
        <w:t>ning</w:t>
      </w:r>
      <w:r w:rsidRPr="00BB237E">
        <w:rPr>
          <w:lang w:val="et-EE"/>
        </w:rPr>
        <w:t xml:space="preserve"> osaleb </w:t>
      </w:r>
      <w:r>
        <w:rPr>
          <w:lang w:val="et-EE"/>
        </w:rPr>
        <w:t xml:space="preserve">sisuliste ja </w:t>
      </w:r>
      <w:r w:rsidRPr="00BB237E">
        <w:rPr>
          <w:lang w:val="et-EE"/>
        </w:rPr>
        <w:t>kunstiliste valikute tegemisel ettevalmistuse, tootmis</w:t>
      </w:r>
      <w:r>
        <w:rPr>
          <w:lang w:val="et-EE"/>
        </w:rPr>
        <w:t xml:space="preserve">e, </w:t>
      </w:r>
      <w:r w:rsidRPr="00BB237E">
        <w:rPr>
          <w:lang w:val="et-EE"/>
        </w:rPr>
        <w:t xml:space="preserve">järeltootmise </w:t>
      </w:r>
      <w:r>
        <w:rPr>
          <w:lang w:val="et-EE"/>
        </w:rPr>
        <w:t xml:space="preserve">ja levi </w:t>
      </w:r>
      <w:r w:rsidRPr="00BB237E">
        <w:rPr>
          <w:lang w:val="et-EE"/>
        </w:rPr>
        <w:t>protsessis. Eesti praktikat arvestades on loovprodutsent tõenäoliselt sarnase hariduse ja töökogemusega kui näiteks teose režissöör, stsenarist, operaator või kunstnik ning tema loominguline panus on samaväärne teiste autoritega.</w:t>
      </w:r>
    </w:p>
    <w:p w14:paraId="46784683" w14:textId="44F4940F" w:rsidR="003416E8" w:rsidRPr="003416E8" w:rsidRDefault="003416E8" w:rsidP="003416E8">
      <w:pPr>
        <w:pStyle w:val="Provision2"/>
        <w:rPr>
          <w:lang w:val="et-EE"/>
        </w:rPr>
      </w:pPr>
      <w:r>
        <w:rPr>
          <w:lang w:val="et-EE"/>
        </w:rPr>
        <w:t xml:space="preserve">Kuivõrd tähtaja direktiiv jätab </w:t>
      </w:r>
      <w:r w:rsidRPr="0034420D">
        <w:rPr>
          <w:lang w:val="et-EE"/>
        </w:rPr>
        <w:t>liikmesriikidel</w:t>
      </w:r>
      <w:r>
        <w:rPr>
          <w:lang w:val="et-EE"/>
        </w:rPr>
        <w:t>e</w:t>
      </w:r>
      <w:r w:rsidRPr="0034420D">
        <w:rPr>
          <w:lang w:val="et-EE"/>
        </w:rPr>
        <w:t xml:space="preserve"> vabadus</w:t>
      </w:r>
      <w:r>
        <w:rPr>
          <w:lang w:val="et-EE"/>
        </w:rPr>
        <w:t>e</w:t>
      </w:r>
      <w:r w:rsidRPr="0034420D">
        <w:rPr>
          <w:lang w:val="et-EE"/>
        </w:rPr>
        <w:t xml:space="preserve"> määrata</w:t>
      </w:r>
      <w:r>
        <w:rPr>
          <w:lang w:val="et-EE"/>
        </w:rPr>
        <w:t xml:space="preserve"> režissööri kõrval audiovisuaalse teose kaasautoreid, teeb FETÜ ettepaneku lisada </w:t>
      </w:r>
      <w:r w:rsidR="002D5977">
        <w:rPr>
          <w:lang w:val="et-EE"/>
        </w:rPr>
        <w:t xml:space="preserve">loovprodutsent </w:t>
      </w:r>
      <w:r>
        <w:rPr>
          <w:lang w:val="et-EE"/>
        </w:rPr>
        <w:t>kehtiva AutÕS § 33 lg-s 2 nimetatud autorite loetellu.</w:t>
      </w:r>
      <w:r w:rsidR="00FF4CE1">
        <w:rPr>
          <w:lang w:val="et-EE"/>
        </w:rPr>
        <w:t xml:space="preserve"> Samuti võiks kaaluda AutÕS § 33 lg-s 2 loetelust </w:t>
      </w:r>
      <w:r w:rsidR="00EF240C">
        <w:rPr>
          <w:lang w:val="et-EE"/>
        </w:rPr>
        <w:t xml:space="preserve">eemaldada </w:t>
      </w:r>
      <w:r w:rsidR="003B42F0">
        <w:rPr>
          <w:lang w:val="et-EE"/>
        </w:rPr>
        <w:t xml:space="preserve">„dialoogi autor“, sest Eesti filmitööstuse </w:t>
      </w:r>
      <w:r w:rsidR="007A3346">
        <w:rPr>
          <w:lang w:val="et-EE"/>
        </w:rPr>
        <w:t>praktikas</w:t>
      </w:r>
      <w:r w:rsidR="003B42F0">
        <w:rPr>
          <w:lang w:val="et-EE"/>
        </w:rPr>
        <w:t xml:space="preserve"> sellist loomingulist töötajat ei kasutata. </w:t>
      </w:r>
    </w:p>
    <w:p w14:paraId="0C58C413" w14:textId="77777777" w:rsidR="003E14D7" w:rsidRDefault="003E14D7" w:rsidP="003E14D7">
      <w:pPr>
        <w:rPr>
          <w:lang w:val="et-EE"/>
        </w:rPr>
      </w:pPr>
    </w:p>
    <w:p w14:paraId="66CD394A" w14:textId="0DA369CD" w:rsidR="003E14D7" w:rsidRDefault="003E14D7" w:rsidP="003E14D7">
      <w:pPr>
        <w:rPr>
          <w:lang w:val="et-EE"/>
        </w:rPr>
      </w:pPr>
      <w:r>
        <w:rPr>
          <w:lang w:val="et-EE"/>
        </w:rPr>
        <w:t>Lugupidamisega</w:t>
      </w:r>
    </w:p>
    <w:p w14:paraId="1B9B0277" w14:textId="77777777" w:rsidR="00BF6A88" w:rsidRDefault="00BF6A88" w:rsidP="0043202D">
      <w:pPr>
        <w:rPr>
          <w:lang w:val="et-EE"/>
        </w:rPr>
      </w:pPr>
    </w:p>
    <w:p w14:paraId="14AA0E69" w14:textId="521A9FDF" w:rsidR="00E92121" w:rsidRDefault="00E92121" w:rsidP="0043202D">
      <w:pPr>
        <w:rPr>
          <w:lang w:val="et-EE"/>
        </w:rPr>
      </w:pPr>
      <w:r>
        <w:rPr>
          <w:lang w:val="et-EE"/>
        </w:rPr>
        <w:t>Piret</w:t>
      </w:r>
      <w:r w:rsidR="00AA78A8">
        <w:rPr>
          <w:lang w:val="et-EE"/>
        </w:rPr>
        <w:t xml:space="preserve"> </w:t>
      </w:r>
      <w:r>
        <w:rPr>
          <w:lang w:val="et-EE"/>
        </w:rPr>
        <w:t>Tibbo-Hudgins</w:t>
      </w:r>
    </w:p>
    <w:p w14:paraId="0F81E445" w14:textId="467A6C38" w:rsidR="00BF6A88" w:rsidRDefault="00BF6A88" w:rsidP="00C03A03">
      <w:pPr>
        <w:spacing w:after="0" w:line="240" w:lineRule="auto"/>
        <w:rPr>
          <w:lang w:val="et-EE"/>
        </w:rPr>
      </w:pPr>
      <w:r>
        <w:rPr>
          <w:lang w:val="et-EE"/>
        </w:rPr>
        <w:t>Juhatuse liige</w:t>
      </w:r>
    </w:p>
    <w:p w14:paraId="346EAECC" w14:textId="77777777" w:rsidR="00BF6A88" w:rsidRDefault="00BF6A88" w:rsidP="00C03A03">
      <w:pPr>
        <w:spacing w:after="0" w:line="240" w:lineRule="auto"/>
        <w:rPr>
          <w:lang w:val="et-EE"/>
        </w:rPr>
      </w:pPr>
      <w:r w:rsidRPr="0043202D">
        <w:rPr>
          <w:lang w:val="et-EE"/>
        </w:rPr>
        <w:t>MTÜ Filmi Esmasalvestuse Tootjate Ühing</w:t>
      </w:r>
    </w:p>
    <w:sectPr w:rsidR="00BF6A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0945" w14:textId="77777777" w:rsidR="001675EA" w:rsidRDefault="001675EA" w:rsidP="000A38DB">
      <w:pPr>
        <w:spacing w:after="0" w:line="240" w:lineRule="auto"/>
      </w:pPr>
      <w:r>
        <w:separator/>
      </w:r>
    </w:p>
  </w:endnote>
  <w:endnote w:type="continuationSeparator" w:id="0">
    <w:p w14:paraId="114C30D2" w14:textId="77777777" w:rsidR="001675EA" w:rsidRDefault="001675EA" w:rsidP="000A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9AB4" w14:textId="77777777" w:rsidR="001675EA" w:rsidRDefault="001675EA" w:rsidP="000A38DB">
      <w:pPr>
        <w:spacing w:after="0" w:line="240" w:lineRule="auto"/>
      </w:pPr>
      <w:r>
        <w:separator/>
      </w:r>
    </w:p>
  </w:footnote>
  <w:footnote w:type="continuationSeparator" w:id="0">
    <w:p w14:paraId="6DF89A9F" w14:textId="77777777" w:rsidR="001675EA" w:rsidRDefault="001675EA" w:rsidP="000A38DB">
      <w:pPr>
        <w:spacing w:after="0" w:line="240" w:lineRule="auto"/>
      </w:pPr>
      <w:r>
        <w:continuationSeparator/>
      </w:r>
    </w:p>
  </w:footnote>
  <w:footnote w:id="1">
    <w:p w14:paraId="7CFE54E4" w14:textId="13AB1A08" w:rsidR="007938F6" w:rsidRPr="007938F6" w:rsidRDefault="007938F6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7938F6">
        <w:t>RT I, 29.06.2022, 16</w:t>
      </w:r>
    </w:p>
  </w:footnote>
  <w:footnote w:id="2">
    <w:p w14:paraId="1D961406" w14:textId="50177777" w:rsidR="00AB590B" w:rsidRPr="00AB590B" w:rsidRDefault="00AB590B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AB590B">
        <w:t>https://www.cisac.org/services/reports-and-research/private-copying-global-study</w:t>
      </w:r>
    </w:p>
  </w:footnote>
  <w:footnote w:id="3">
    <w:p w14:paraId="7A53080E" w14:textId="77777777" w:rsidR="00E938DA" w:rsidRPr="009010CB" w:rsidRDefault="00E938DA" w:rsidP="00E938DA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 w:rsidRPr="008C5F38">
        <w:rPr>
          <w:lang w:val="et-EE"/>
        </w:rPr>
        <w:t xml:space="preserve"> Audiovisuaalse teose ja teose helisalvestise isiklikeks vajadusteks kasutamise kompenseerimiseks tasu maksmise kord, salvestusseadmete ja -kandjate loetelu ja nendelt kogutava tasu määrad ning kultuuri- ja teadusprojektide finantseerimiseks toetuse taotlemise kord – RT I, 04.03.2021, 8</w:t>
      </w:r>
    </w:p>
  </w:footnote>
  <w:footnote w:id="4">
    <w:p w14:paraId="7B70B1EF" w14:textId="77777777" w:rsidR="00D9747B" w:rsidRPr="0037172F" w:rsidRDefault="00D9747B" w:rsidP="00D9747B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37172F">
        <w:t>Teose reprograafilise reprodutseerimise tasu ilukirjanduse ning teadus- ja õppekirjanduse autorite ja kirjastajate vahel jaotamise määrad ning tasu maksmise kord</w:t>
      </w:r>
      <w:r>
        <w:t xml:space="preserve"> – </w:t>
      </w:r>
      <w:r w:rsidRPr="0037172F">
        <w:t>RT I, 29.06.2022, 16</w:t>
      </w:r>
    </w:p>
  </w:footnote>
  <w:footnote w:id="5">
    <w:p w14:paraId="1FD136CF" w14:textId="77777777" w:rsidR="00D9747B" w:rsidRPr="0037172F" w:rsidRDefault="00D9747B" w:rsidP="00D9747B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37172F">
        <w:t>Rahvaraamatukogudest teose laenutamise eest autorile makstava tasu jaotamise määrad, tasu arvutamise ja väljamaksmise alused ning kord</w:t>
      </w:r>
      <w:r>
        <w:t xml:space="preserve"> – </w:t>
      </w:r>
      <w:r w:rsidRPr="0037172F">
        <w:t>RT I, 11.12.2012, 4</w:t>
      </w:r>
    </w:p>
  </w:footnote>
  <w:footnote w:id="6">
    <w:p w14:paraId="0E90BC30" w14:textId="11F50144" w:rsidR="00C6690F" w:rsidRPr="00C6690F" w:rsidRDefault="00C6690F" w:rsidP="00C6690F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174 SE I </w:t>
      </w:r>
      <w:r w:rsidR="009535D0">
        <w:t>autoriõiguse seaduse muutmise seadus</w:t>
      </w:r>
    </w:p>
  </w:footnote>
  <w:footnote w:id="7">
    <w:p w14:paraId="62DC0FDC" w14:textId="3A2C1DD5" w:rsidR="009535D0" w:rsidRPr="009535D0" w:rsidRDefault="009535D0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9535D0">
        <w:t>174 SE I autoriõiguse seaduse muutmise seadus</w:t>
      </w:r>
      <w:r>
        <w:t>e seletuskiri, lk 18</w:t>
      </w:r>
    </w:p>
  </w:footnote>
  <w:footnote w:id="8">
    <w:p w14:paraId="2AD04915" w14:textId="0FDD306F" w:rsidR="002F3CF3" w:rsidRPr="002F3CF3" w:rsidRDefault="002F3CF3" w:rsidP="002F3CF3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Euroopa Parlamendi ja </w:t>
      </w:r>
      <w:r w:rsidR="00166358">
        <w:t>n</w:t>
      </w:r>
      <w:r>
        <w:t>õukogu direktiiv 2006/116/EÜ, 12. detsember 2006, autoriõiguse ja sellega kaasnevate õiguste kaitse tähtaja kohta (kodifitseeritud versioon)</w:t>
      </w:r>
    </w:p>
  </w:footnote>
  <w:footnote w:id="9">
    <w:p w14:paraId="71463872" w14:textId="6A5F0B1F" w:rsidR="00166358" w:rsidRPr="00166358" w:rsidRDefault="00166358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166358">
        <w:t>Euroopa Parlamendi ja nõukogu direktiiv 2006/115/EÜ, 12. detsember 2006, rentimis- ja laenutamisõiguse ja teatavate autoriõigusega kaasnevate õiguste kohta intellektuaalomandi vallas (kodifitseeritud versioon)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303"/>
    <w:multiLevelType w:val="multilevel"/>
    <w:tmpl w:val="D60AB5A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/>
        <w:bCs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1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Calibri Light" w:hAnsi="Calibri Light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276"/>
        </w:tabs>
        <w:ind w:left="1276" w:hanging="567"/>
      </w:pPr>
      <w:rPr>
        <w:rFonts w:ascii="Calibri Light" w:hAnsi="Calibri Light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  <w:rPr>
        <w:rFonts w:ascii="Calibri Light" w:hAnsi="Calibri Light" w:cs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1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lvlText w:val="%8%6"/>
      <w:lvlJc w:val="left"/>
      <w:pPr>
        <w:ind w:left="709" w:hanging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" w15:restartNumberingAfterBreak="0">
    <w:nsid w:val="223F0B74"/>
    <w:multiLevelType w:val="multilevel"/>
    <w:tmpl w:val="58F4FAD8"/>
    <w:lvl w:ilvl="0">
      <w:start w:val="1"/>
      <w:numFmt w:val="decimal"/>
      <w:pStyle w:val="Provision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/>
        <w:bCs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pStyle w:val="Provision2"/>
      <w:isLgl/>
      <w:lvlText w:val="%1.%2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1"/>
        <w:u w:val="none"/>
        <w:effect w:val="none"/>
        <w:vertAlign w:val="baseline"/>
      </w:rPr>
    </w:lvl>
    <w:lvl w:ilvl="2">
      <w:start w:val="1"/>
      <w:numFmt w:val="decimal"/>
      <w:pStyle w:val="Provision3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Calibri Light" w:hAnsi="Calibri Light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Provision4"/>
      <w:lvlText w:val="%1.%2.%3.%4"/>
      <w:lvlJc w:val="left"/>
      <w:pPr>
        <w:tabs>
          <w:tab w:val="num" w:pos="1418"/>
        </w:tabs>
        <w:ind w:left="2126" w:hanging="708"/>
      </w:pPr>
      <w:rPr>
        <w:rFonts w:ascii="Calibri Light" w:hAnsi="Calibri Light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lowerRoman"/>
      <w:pStyle w:val="Provision5"/>
      <w:lvlText w:val="(%5)"/>
      <w:lvlJc w:val="left"/>
      <w:pPr>
        <w:tabs>
          <w:tab w:val="num" w:pos="1843"/>
        </w:tabs>
        <w:ind w:left="1843" w:hanging="567"/>
      </w:pPr>
      <w:rPr>
        <w:rFonts w:ascii="Calibri Light" w:hAnsi="Calibri Light" w:cs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1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lvlText w:val="%8%6"/>
      <w:lvlJc w:val="left"/>
      <w:pPr>
        <w:ind w:left="709" w:hanging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2" w15:restartNumberingAfterBreak="0">
    <w:nsid w:val="43776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0701855">
    <w:abstractNumId w:val="2"/>
  </w:num>
  <w:num w:numId="2" w16cid:durableId="1601644406">
    <w:abstractNumId w:val="1"/>
  </w:num>
  <w:num w:numId="3" w16cid:durableId="130812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F0"/>
    <w:rsid w:val="00022A33"/>
    <w:rsid w:val="00062A0B"/>
    <w:rsid w:val="00083529"/>
    <w:rsid w:val="00084D02"/>
    <w:rsid w:val="00087748"/>
    <w:rsid w:val="000A2C96"/>
    <w:rsid w:val="000A3344"/>
    <w:rsid w:val="000A38DB"/>
    <w:rsid w:val="000A4202"/>
    <w:rsid w:val="000B1C7C"/>
    <w:rsid w:val="000B5618"/>
    <w:rsid w:val="000C61F8"/>
    <w:rsid w:val="000E5F42"/>
    <w:rsid w:val="000F569C"/>
    <w:rsid w:val="000F6090"/>
    <w:rsid w:val="000F6263"/>
    <w:rsid w:val="0010243C"/>
    <w:rsid w:val="00104E2F"/>
    <w:rsid w:val="00105515"/>
    <w:rsid w:val="00113669"/>
    <w:rsid w:val="001150BA"/>
    <w:rsid w:val="00116B24"/>
    <w:rsid w:val="001257AF"/>
    <w:rsid w:val="001371CA"/>
    <w:rsid w:val="001610DD"/>
    <w:rsid w:val="0016608A"/>
    <w:rsid w:val="00166358"/>
    <w:rsid w:val="001675EA"/>
    <w:rsid w:val="0016765B"/>
    <w:rsid w:val="00187676"/>
    <w:rsid w:val="00187ECA"/>
    <w:rsid w:val="00191791"/>
    <w:rsid w:val="001B48B2"/>
    <w:rsid w:val="001C1D79"/>
    <w:rsid w:val="001C223B"/>
    <w:rsid w:val="001E2E24"/>
    <w:rsid w:val="001E34FF"/>
    <w:rsid w:val="001F083E"/>
    <w:rsid w:val="001F4211"/>
    <w:rsid w:val="002014B4"/>
    <w:rsid w:val="002108E9"/>
    <w:rsid w:val="00214531"/>
    <w:rsid w:val="00216663"/>
    <w:rsid w:val="0022401B"/>
    <w:rsid w:val="002435D0"/>
    <w:rsid w:val="00276C3E"/>
    <w:rsid w:val="002800FA"/>
    <w:rsid w:val="002874B0"/>
    <w:rsid w:val="002932DB"/>
    <w:rsid w:val="00296B48"/>
    <w:rsid w:val="002A72A1"/>
    <w:rsid w:val="002B0DC4"/>
    <w:rsid w:val="002B71CA"/>
    <w:rsid w:val="002C1F38"/>
    <w:rsid w:val="002D1A14"/>
    <w:rsid w:val="002D3FAF"/>
    <w:rsid w:val="002D5977"/>
    <w:rsid w:val="002D7343"/>
    <w:rsid w:val="002E3055"/>
    <w:rsid w:val="002F2C8C"/>
    <w:rsid w:val="002F3CF3"/>
    <w:rsid w:val="00302353"/>
    <w:rsid w:val="00310E63"/>
    <w:rsid w:val="00311280"/>
    <w:rsid w:val="003177F7"/>
    <w:rsid w:val="00322477"/>
    <w:rsid w:val="0032531C"/>
    <w:rsid w:val="00326457"/>
    <w:rsid w:val="003416E8"/>
    <w:rsid w:val="0034420D"/>
    <w:rsid w:val="00344E52"/>
    <w:rsid w:val="003607F1"/>
    <w:rsid w:val="00364EF0"/>
    <w:rsid w:val="00366B19"/>
    <w:rsid w:val="00370FB9"/>
    <w:rsid w:val="0037172F"/>
    <w:rsid w:val="00374ED8"/>
    <w:rsid w:val="003762E5"/>
    <w:rsid w:val="0038095C"/>
    <w:rsid w:val="003909D9"/>
    <w:rsid w:val="0039636B"/>
    <w:rsid w:val="003A2921"/>
    <w:rsid w:val="003A592C"/>
    <w:rsid w:val="003A679C"/>
    <w:rsid w:val="003B1817"/>
    <w:rsid w:val="003B42F0"/>
    <w:rsid w:val="003B4DE2"/>
    <w:rsid w:val="003B5405"/>
    <w:rsid w:val="003C7BBB"/>
    <w:rsid w:val="003D5526"/>
    <w:rsid w:val="003E14D7"/>
    <w:rsid w:val="003E5025"/>
    <w:rsid w:val="003E7544"/>
    <w:rsid w:val="003F3A85"/>
    <w:rsid w:val="00402B1C"/>
    <w:rsid w:val="00422A80"/>
    <w:rsid w:val="0043202D"/>
    <w:rsid w:val="0043699E"/>
    <w:rsid w:val="00462BAF"/>
    <w:rsid w:val="00476BCA"/>
    <w:rsid w:val="004A1D5F"/>
    <w:rsid w:val="004C2036"/>
    <w:rsid w:val="004D17CD"/>
    <w:rsid w:val="004E2393"/>
    <w:rsid w:val="00500B07"/>
    <w:rsid w:val="005032E5"/>
    <w:rsid w:val="00515C8A"/>
    <w:rsid w:val="005207C3"/>
    <w:rsid w:val="00520F97"/>
    <w:rsid w:val="0052676F"/>
    <w:rsid w:val="005274E3"/>
    <w:rsid w:val="00531DFC"/>
    <w:rsid w:val="00554622"/>
    <w:rsid w:val="00556995"/>
    <w:rsid w:val="005570F2"/>
    <w:rsid w:val="00562CFB"/>
    <w:rsid w:val="00571CBF"/>
    <w:rsid w:val="00574475"/>
    <w:rsid w:val="00577DCC"/>
    <w:rsid w:val="005833CF"/>
    <w:rsid w:val="005924CC"/>
    <w:rsid w:val="0059673E"/>
    <w:rsid w:val="005B47E8"/>
    <w:rsid w:val="005B69D7"/>
    <w:rsid w:val="005C0AF4"/>
    <w:rsid w:val="005C1457"/>
    <w:rsid w:val="005C48C8"/>
    <w:rsid w:val="005C5DAD"/>
    <w:rsid w:val="005C6B4D"/>
    <w:rsid w:val="005D1440"/>
    <w:rsid w:val="005D199D"/>
    <w:rsid w:val="005D1B0A"/>
    <w:rsid w:val="005D4694"/>
    <w:rsid w:val="005E0B46"/>
    <w:rsid w:val="005F02FD"/>
    <w:rsid w:val="005F2D71"/>
    <w:rsid w:val="00601B1E"/>
    <w:rsid w:val="00612ABB"/>
    <w:rsid w:val="00614B1D"/>
    <w:rsid w:val="00616DE1"/>
    <w:rsid w:val="006220EA"/>
    <w:rsid w:val="00631CD8"/>
    <w:rsid w:val="00637477"/>
    <w:rsid w:val="006375BB"/>
    <w:rsid w:val="006441C2"/>
    <w:rsid w:val="00651F9F"/>
    <w:rsid w:val="0066669B"/>
    <w:rsid w:val="006778C1"/>
    <w:rsid w:val="00682F16"/>
    <w:rsid w:val="00684098"/>
    <w:rsid w:val="00684A29"/>
    <w:rsid w:val="00691FF6"/>
    <w:rsid w:val="006A5260"/>
    <w:rsid w:val="006C1C72"/>
    <w:rsid w:val="006C37B2"/>
    <w:rsid w:val="006D4231"/>
    <w:rsid w:val="006D60B4"/>
    <w:rsid w:val="006F38AC"/>
    <w:rsid w:val="0070116A"/>
    <w:rsid w:val="00703277"/>
    <w:rsid w:val="00703619"/>
    <w:rsid w:val="00710AF0"/>
    <w:rsid w:val="007131F2"/>
    <w:rsid w:val="00715C0E"/>
    <w:rsid w:val="007200C8"/>
    <w:rsid w:val="00722968"/>
    <w:rsid w:val="00735E94"/>
    <w:rsid w:val="0074467A"/>
    <w:rsid w:val="00753ED4"/>
    <w:rsid w:val="00753FFC"/>
    <w:rsid w:val="00767727"/>
    <w:rsid w:val="00770602"/>
    <w:rsid w:val="007734F0"/>
    <w:rsid w:val="00776AD3"/>
    <w:rsid w:val="007938F6"/>
    <w:rsid w:val="007A3346"/>
    <w:rsid w:val="007B452B"/>
    <w:rsid w:val="007C172A"/>
    <w:rsid w:val="007C3115"/>
    <w:rsid w:val="007C50CE"/>
    <w:rsid w:val="007E00F0"/>
    <w:rsid w:val="007E1706"/>
    <w:rsid w:val="007E6368"/>
    <w:rsid w:val="007F26DB"/>
    <w:rsid w:val="007F5A4A"/>
    <w:rsid w:val="008014BD"/>
    <w:rsid w:val="008074AB"/>
    <w:rsid w:val="00820583"/>
    <w:rsid w:val="00831B47"/>
    <w:rsid w:val="00831E2F"/>
    <w:rsid w:val="0083200B"/>
    <w:rsid w:val="00841001"/>
    <w:rsid w:val="00841E8C"/>
    <w:rsid w:val="00846F6B"/>
    <w:rsid w:val="008563CE"/>
    <w:rsid w:val="00862D5F"/>
    <w:rsid w:val="00865686"/>
    <w:rsid w:val="008717C8"/>
    <w:rsid w:val="008772BC"/>
    <w:rsid w:val="00877EE1"/>
    <w:rsid w:val="00880019"/>
    <w:rsid w:val="00880F4F"/>
    <w:rsid w:val="00881A7F"/>
    <w:rsid w:val="008A10B3"/>
    <w:rsid w:val="008A70D5"/>
    <w:rsid w:val="008B1AF6"/>
    <w:rsid w:val="008B5EFC"/>
    <w:rsid w:val="008C2816"/>
    <w:rsid w:val="008C5F38"/>
    <w:rsid w:val="008C60FF"/>
    <w:rsid w:val="008D04EB"/>
    <w:rsid w:val="008D7CF8"/>
    <w:rsid w:val="008E5DDA"/>
    <w:rsid w:val="008F447F"/>
    <w:rsid w:val="009010CB"/>
    <w:rsid w:val="00926A17"/>
    <w:rsid w:val="00933ECB"/>
    <w:rsid w:val="00934210"/>
    <w:rsid w:val="00943141"/>
    <w:rsid w:val="009523FD"/>
    <w:rsid w:val="009535D0"/>
    <w:rsid w:val="009645CC"/>
    <w:rsid w:val="00977876"/>
    <w:rsid w:val="00991071"/>
    <w:rsid w:val="00995B11"/>
    <w:rsid w:val="0099778F"/>
    <w:rsid w:val="009A429D"/>
    <w:rsid w:val="009A6D8D"/>
    <w:rsid w:val="009B2E26"/>
    <w:rsid w:val="009B6F9F"/>
    <w:rsid w:val="009C71C6"/>
    <w:rsid w:val="009D040D"/>
    <w:rsid w:val="009D4007"/>
    <w:rsid w:val="009D6581"/>
    <w:rsid w:val="009E0FB2"/>
    <w:rsid w:val="009E5E95"/>
    <w:rsid w:val="009F08B8"/>
    <w:rsid w:val="009F33C8"/>
    <w:rsid w:val="009F626C"/>
    <w:rsid w:val="00A048A7"/>
    <w:rsid w:val="00A10294"/>
    <w:rsid w:val="00A1445F"/>
    <w:rsid w:val="00A15B36"/>
    <w:rsid w:val="00A233FC"/>
    <w:rsid w:val="00A26899"/>
    <w:rsid w:val="00A40CBE"/>
    <w:rsid w:val="00A56BD8"/>
    <w:rsid w:val="00A66084"/>
    <w:rsid w:val="00A76846"/>
    <w:rsid w:val="00A807F2"/>
    <w:rsid w:val="00A87A5A"/>
    <w:rsid w:val="00AA78A8"/>
    <w:rsid w:val="00AB590B"/>
    <w:rsid w:val="00AD1D79"/>
    <w:rsid w:val="00AD3BC9"/>
    <w:rsid w:val="00AF0431"/>
    <w:rsid w:val="00AF04FE"/>
    <w:rsid w:val="00B024C7"/>
    <w:rsid w:val="00B121D5"/>
    <w:rsid w:val="00B33035"/>
    <w:rsid w:val="00B4240D"/>
    <w:rsid w:val="00B44EEA"/>
    <w:rsid w:val="00B45F55"/>
    <w:rsid w:val="00B52E65"/>
    <w:rsid w:val="00B570F6"/>
    <w:rsid w:val="00B579B6"/>
    <w:rsid w:val="00B626CD"/>
    <w:rsid w:val="00B65442"/>
    <w:rsid w:val="00B76098"/>
    <w:rsid w:val="00B801D5"/>
    <w:rsid w:val="00B81E33"/>
    <w:rsid w:val="00B85AF7"/>
    <w:rsid w:val="00B90B27"/>
    <w:rsid w:val="00B959F7"/>
    <w:rsid w:val="00BA2B7F"/>
    <w:rsid w:val="00BB10CC"/>
    <w:rsid w:val="00BB3004"/>
    <w:rsid w:val="00BB55C2"/>
    <w:rsid w:val="00BB7667"/>
    <w:rsid w:val="00BC2746"/>
    <w:rsid w:val="00BC3B37"/>
    <w:rsid w:val="00BC67E2"/>
    <w:rsid w:val="00BD5696"/>
    <w:rsid w:val="00BD782E"/>
    <w:rsid w:val="00BE23A1"/>
    <w:rsid w:val="00BF345F"/>
    <w:rsid w:val="00BF6A88"/>
    <w:rsid w:val="00C0357A"/>
    <w:rsid w:val="00C03A03"/>
    <w:rsid w:val="00C0525F"/>
    <w:rsid w:val="00C154D4"/>
    <w:rsid w:val="00C217F1"/>
    <w:rsid w:val="00C27B0D"/>
    <w:rsid w:val="00C34B3E"/>
    <w:rsid w:val="00C35917"/>
    <w:rsid w:val="00C3724A"/>
    <w:rsid w:val="00C423E5"/>
    <w:rsid w:val="00C50C1C"/>
    <w:rsid w:val="00C5545C"/>
    <w:rsid w:val="00C62505"/>
    <w:rsid w:val="00C62577"/>
    <w:rsid w:val="00C641DD"/>
    <w:rsid w:val="00C6690F"/>
    <w:rsid w:val="00C73618"/>
    <w:rsid w:val="00C75D3D"/>
    <w:rsid w:val="00C776EC"/>
    <w:rsid w:val="00C80A4B"/>
    <w:rsid w:val="00C83E0B"/>
    <w:rsid w:val="00C947EB"/>
    <w:rsid w:val="00CA16C6"/>
    <w:rsid w:val="00CA6317"/>
    <w:rsid w:val="00CA7417"/>
    <w:rsid w:val="00CB44E5"/>
    <w:rsid w:val="00CB7196"/>
    <w:rsid w:val="00CC19B5"/>
    <w:rsid w:val="00CC586A"/>
    <w:rsid w:val="00CD3513"/>
    <w:rsid w:val="00CD5031"/>
    <w:rsid w:val="00CE27BD"/>
    <w:rsid w:val="00CF4F5C"/>
    <w:rsid w:val="00D03C68"/>
    <w:rsid w:val="00D10B0A"/>
    <w:rsid w:val="00D14C9E"/>
    <w:rsid w:val="00D2759E"/>
    <w:rsid w:val="00D32330"/>
    <w:rsid w:val="00D46305"/>
    <w:rsid w:val="00D50345"/>
    <w:rsid w:val="00D526E2"/>
    <w:rsid w:val="00D57B4E"/>
    <w:rsid w:val="00D61590"/>
    <w:rsid w:val="00D6547A"/>
    <w:rsid w:val="00D819EA"/>
    <w:rsid w:val="00D9531F"/>
    <w:rsid w:val="00D96FD8"/>
    <w:rsid w:val="00D9747B"/>
    <w:rsid w:val="00DA1F4A"/>
    <w:rsid w:val="00DA356D"/>
    <w:rsid w:val="00DA6898"/>
    <w:rsid w:val="00DB08A2"/>
    <w:rsid w:val="00DC5DC8"/>
    <w:rsid w:val="00DC7401"/>
    <w:rsid w:val="00DD1895"/>
    <w:rsid w:val="00DD2A29"/>
    <w:rsid w:val="00DE5F7C"/>
    <w:rsid w:val="00DF10D8"/>
    <w:rsid w:val="00DF403B"/>
    <w:rsid w:val="00E23826"/>
    <w:rsid w:val="00E30676"/>
    <w:rsid w:val="00E34174"/>
    <w:rsid w:val="00E34676"/>
    <w:rsid w:val="00E402ED"/>
    <w:rsid w:val="00E40FA2"/>
    <w:rsid w:val="00E439CA"/>
    <w:rsid w:val="00E5234C"/>
    <w:rsid w:val="00E53250"/>
    <w:rsid w:val="00E62089"/>
    <w:rsid w:val="00E716F7"/>
    <w:rsid w:val="00E73133"/>
    <w:rsid w:val="00E7322B"/>
    <w:rsid w:val="00E8085E"/>
    <w:rsid w:val="00E81A43"/>
    <w:rsid w:val="00E873C3"/>
    <w:rsid w:val="00E92121"/>
    <w:rsid w:val="00E938DA"/>
    <w:rsid w:val="00E9627C"/>
    <w:rsid w:val="00EA1F71"/>
    <w:rsid w:val="00EA478A"/>
    <w:rsid w:val="00EA6FAC"/>
    <w:rsid w:val="00EA729D"/>
    <w:rsid w:val="00EC2212"/>
    <w:rsid w:val="00EC294D"/>
    <w:rsid w:val="00EC2E49"/>
    <w:rsid w:val="00EC7D54"/>
    <w:rsid w:val="00ED225B"/>
    <w:rsid w:val="00ED6470"/>
    <w:rsid w:val="00EE06C2"/>
    <w:rsid w:val="00EF240C"/>
    <w:rsid w:val="00EF4C33"/>
    <w:rsid w:val="00F15483"/>
    <w:rsid w:val="00F15AEF"/>
    <w:rsid w:val="00F2004F"/>
    <w:rsid w:val="00F21CEE"/>
    <w:rsid w:val="00F22528"/>
    <w:rsid w:val="00F321FA"/>
    <w:rsid w:val="00F41D83"/>
    <w:rsid w:val="00F4486E"/>
    <w:rsid w:val="00F54165"/>
    <w:rsid w:val="00F57390"/>
    <w:rsid w:val="00F57780"/>
    <w:rsid w:val="00F75A17"/>
    <w:rsid w:val="00F81CAF"/>
    <w:rsid w:val="00F82652"/>
    <w:rsid w:val="00F83CF7"/>
    <w:rsid w:val="00F85A0E"/>
    <w:rsid w:val="00F87A61"/>
    <w:rsid w:val="00F91480"/>
    <w:rsid w:val="00F91933"/>
    <w:rsid w:val="00F93369"/>
    <w:rsid w:val="00F94B1C"/>
    <w:rsid w:val="00FA713B"/>
    <w:rsid w:val="00FB0D02"/>
    <w:rsid w:val="00FC5176"/>
    <w:rsid w:val="00FD058B"/>
    <w:rsid w:val="00FD3382"/>
    <w:rsid w:val="00FE6ADF"/>
    <w:rsid w:val="00FE71A4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8FD02"/>
  <w15:chartTrackingRefBased/>
  <w15:docId w15:val="{8F48EEC3-CC7D-4FD5-99CA-A9AB0876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D71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358"/>
    <w:pPr>
      <w:spacing w:after="120" w:line="240" w:lineRule="auto"/>
    </w:pPr>
    <w:rPr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paragraph" w:styleId="ListParagraph">
    <w:name w:val="List Paragraph"/>
    <w:basedOn w:val="Normal"/>
    <w:uiPriority w:val="34"/>
    <w:qFormat/>
    <w:rsid w:val="008D7C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A38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8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38DB"/>
    <w:rPr>
      <w:vertAlign w:val="superscript"/>
    </w:rPr>
  </w:style>
  <w:style w:type="paragraph" w:customStyle="1" w:styleId="Provision1">
    <w:name w:val="Provision (1)"/>
    <w:basedOn w:val="Normal"/>
    <w:rsid w:val="004D17CD"/>
    <w:pPr>
      <w:numPr>
        <w:numId w:val="2"/>
      </w:numPr>
    </w:pPr>
  </w:style>
  <w:style w:type="paragraph" w:customStyle="1" w:styleId="Provision2">
    <w:name w:val="Provision (2)"/>
    <w:basedOn w:val="Normal"/>
    <w:rsid w:val="004D17CD"/>
    <w:pPr>
      <w:numPr>
        <w:ilvl w:val="1"/>
        <w:numId w:val="2"/>
      </w:numPr>
    </w:pPr>
  </w:style>
  <w:style w:type="paragraph" w:customStyle="1" w:styleId="Provision3">
    <w:name w:val="Provision (3)"/>
    <w:basedOn w:val="Normal"/>
    <w:rsid w:val="004D17CD"/>
    <w:pPr>
      <w:numPr>
        <w:ilvl w:val="2"/>
        <w:numId w:val="2"/>
      </w:numPr>
    </w:pPr>
  </w:style>
  <w:style w:type="paragraph" w:customStyle="1" w:styleId="Provision4">
    <w:name w:val="Provision (4)"/>
    <w:basedOn w:val="Normal"/>
    <w:rsid w:val="004D17CD"/>
    <w:pPr>
      <w:numPr>
        <w:ilvl w:val="3"/>
        <w:numId w:val="2"/>
      </w:numPr>
    </w:pPr>
  </w:style>
  <w:style w:type="paragraph" w:customStyle="1" w:styleId="Provision5">
    <w:name w:val="Provision (5)"/>
    <w:basedOn w:val="Normal"/>
    <w:rsid w:val="004D17CD"/>
    <w:pPr>
      <w:numPr>
        <w:ilvl w:val="4"/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601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8E23-B6BB-4369-9A7C-00B478BB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1170</Words>
  <Characters>6788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Hedman</dc:creator>
  <cp:keywords/>
  <dc:description/>
  <cp:lastModifiedBy>Piret Tibbo-Hudgins</cp:lastModifiedBy>
  <cp:revision>6</cp:revision>
  <dcterms:created xsi:type="dcterms:W3CDTF">2024-02-02T03:59:00Z</dcterms:created>
  <dcterms:modified xsi:type="dcterms:W3CDTF">2024-02-02T04:24:00Z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e8d5ab35f925d8bd360e76175b17b70ebed74a5dffac76a5e8203040ae964c44</vt:lpwstr>
  </property>
</Properties>
</file>